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B65F" w14:textId="77777777" w:rsidR="00D67AA2" w:rsidRDefault="00000000">
      <w:pPr>
        <w:spacing w:after="60"/>
      </w:pPr>
      <w:r>
        <w:rPr>
          <w:rFonts w:ascii="Arial" w:eastAsia="Arial" w:hAnsi="Arial" w:cs="Arial"/>
          <w:b/>
          <w:bCs/>
          <w:color w:val="2E4E7E"/>
          <w:sz w:val="18"/>
          <w:szCs w:val="18"/>
        </w:rPr>
        <w:t>Original Investigation | Pediatric Nephrology</w:t>
      </w:r>
    </w:p>
    <w:p w14:paraId="36EC12C9" w14:textId="77777777" w:rsidR="00D67AA2" w:rsidRDefault="00D67AA2">
      <w:pPr>
        <w:pBdr>
          <w:bottom w:val="single" w:sz="6" w:space="1" w:color="2E4E7E"/>
        </w:pBdr>
        <w:spacing w:before="100" w:after="100"/>
      </w:pPr>
    </w:p>
    <w:p w14:paraId="19996C4F" w14:textId="77777777" w:rsidR="00D67AA2" w:rsidRDefault="00000000">
      <w:pPr>
        <w:spacing w:before="80" w:after="60"/>
      </w:pPr>
      <w:r>
        <w:rPr>
          <w:rFonts w:ascii="Arial" w:eastAsia="Arial" w:hAnsi="Arial" w:cs="Arial"/>
          <w:b/>
          <w:bCs/>
          <w:sz w:val="34"/>
          <w:szCs w:val="34"/>
        </w:rPr>
        <w:t>How Much More We Know About Pediatric Nephrology</w:t>
      </w:r>
    </w:p>
    <w:p w14:paraId="2DDCCA86" w14:textId="77777777" w:rsidR="00D67AA2" w:rsidRDefault="00000000">
      <w:pPr>
        <w:spacing w:before="40" w:after="60"/>
      </w:pPr>
      <w:r>
        <w:rPr>
          <w:rFonts w:ascii="Arial" w:eastAsia="Arial" w:hAnsi="Arial" w:cs="Arial"/>
          <w:i/>
          <w:iCs/>
          <w:color w:val="555555"/>
          <w:sz w:val="20"/>
          <w:szCs w:val="20"/>
        </w:rPr>
        <w:t>A temporal analysis of the Pediatric Nephrology Atlas: what a year-2000 version would have contained, and what the genomics era has added since</w:t>
      </w:r>
    </w:p>
    <w:p w14:paraId="0A523686" w14:textId="77777777" w:rsidR="00D67AA2" w:rsidRDefault="00000000">
      <w:pPr>
        <w:spacing w:before="60" w:after="60"/>
      </w:pPr>
      <w:r>
        <w:rPr>
          <w:rFonts w:ascii="Arial" w:eastAsia="Arial" w:hAnsi="Arial" w:cs="Arial"/>
          <w:color w:val="555555"/>
          <w:sz w:val="18"/>
          <w:szCs w:val="18"/>
        </w:rPr>
        <w:t>Drawn from the Pediatric Nephrology Atlas (2026) | 176 Conditions · 14 Categories</w:t>
      </w:r>
    </w:p>
    <w:p w14:paraId="0F025CDE" w14:textId="78A09BB5" w:rsidR="00D67AA2" w:rsidRDefault="00000000">
      <w:pPr>
        <w:spacing w:before="60" w:after="200"/>
      </w:pPr>
      <w:r>
        <w:rPr>
          <w:rFonts w:ascii="Arial" w:eastAsia="Arial" w:hAnsi="Arial" w:cs="Arial"/>
          <w:i/>
          <w:iCs/>
          <w:sz w:val="20"/>
          <w:szCs w:val="20"/>
        </w:rPr>
        <w:t>Pediatric Moonshot</w:t>
      </w:r>
    </w:p>
    <w:p w14:paraId="68B16E3D" w14:textId="77777777" w:rsidR="00D67AA2" w:rsidRDefault="00000000">
      <w:pPr>
        <w:spacing w:before="120" w:after="60"/>
      </w:pPr>
      <w:r>
        <w:rPr>
          <w:rFonts w:ascii="Arial" w:eastAsia="Arial" w:hAnsi="Arial" w:cs="Arial"/>
          <w:b/>
          <w:bCs/>
        </w:rPr>
        <w:t>Abstract</w:t>
      </w:r>
    </w:p>
    <w:p w14:paraId="79DEFFD6" w14:textId="77777777" w:rsidR="00D67AA2" w:rsidRDefault="00D67AA2">
      <w:pPr>
        <w:pBdr>
          <w:bottom w:val="single" w:sz="6" w:space="1" w:color="2E4E7E"/>
        </w:pBdr>
        <w:spacing w:before="100" w:after="100"/>
      </w:pPr>
    </w:p>
    <w:p w14:paraId="7B09A13C" w14:textId="77777777" w:rsidR="00D67AA2" w:rsidRDefault="00000000">
      <w:pPr>
        <w:spacing w:before="60" w:after="20"/>
      </w:pPr>
      <w:r>
        <w:rPr>
          <w:rFonts w:ascii="Arial" w:eastAsia="Arial" w:hAnsi="Arial" w:cs="Arial"/>
          <w:b/>
          <w:bCs/>
          <w:color w:val="2E4E7E"/>
          <w:sz w:val="18"/>
          <w:szCs w:val="18"/>
        </w:rPr>
        <w:t>IMPORTANCE</w:t>
      </w:r>
    </w:p>
    <w:p w14:paraId="3B7B7B99" w14:textId="137189AD" w:rsidR="00D67AA2" w:rsidRDefault="00000000">
      <w:pPr>
        <w:spacing w:before="20" w:after="60"/>
        <w:jc w:val="both"/>
      </w:pPr>
      <w:r>
        <w:t xml:space="preserve">Pediatric nephrology has undergone a more dramatic molecular transformation than any other pediatric subspecialty since 2000. The Pediatric Nephrology Atlas grew by +68% in 25 years — </w:t>
      </w:r>
      <w:r w:rsidR="0030112E">
        <w:t>one of the</w:t>
      </w:r>
      <w:r>
        <w:t xml:space="preserve"> largest proportional </w:t>
      </w:r>
      <w:proofErr w:type="gramStart"/>
      <w:r>
        <w:t>growth</w:t>
      </w:r>
      <w:proofErr w:type="gramEnd"/>
      <w:r>
        <w:t xml:space="preserve"> across all Pediatric Moonshot atlases. Understanding where and why that growth occurred is essential to prioritizing the federated data infrastructure required for the resulting rare and ultra-rare conditions.</w:t>
      </w:r>
    </w:p>
    <w:p w14:paraId="0B417FB7" w14:textId="77777777" w:rsidR="00D67AA2" w:rsidRDefault="00000000">
      <w:pPr>
        <w:spacing w:before="60" w:after="20"/>
      </w:pPr>
      <w:r>
        <w:rPr>
          <w:rFonts w:ascii="Arial" w:eastAsia="Arial" w:hAnsi="Arial" w:cs="Arial"/>
          <w:b/>
          <w:bCs/>
          <w:color w:val="2E4E7E"/>
          <w:sz w:val="18"/>
          <w:szCs w:val="18"/>
        </w:rPr>
        <w:t>OBJECTIVE</w:t>
      </w:r>
    </w:p>
    <w:p w14:paraId="6ACD4EDE" w14:textId="77777777" w:rsidR="00D67AA2" w:rsidRDefault="00000000">
      <w:pPr>
        <w:spacing w:before="20" w:after="60"/>
        <w:jc w:val="both"/>
      </w:pPr>
      <w:r>
        <w:t>To perform a temporal analysis of the Pediatric Nephrology Atlas (2026), estimating which conditions were recognized before 2000, which were molecularly redefined post-2000, and which represent entirely new diagnostic entities, and to characterize the implications for federated pediatric nephrology data infrastructure.</w:t>
      </w:r>
    </w:p>
    <w:p w14:paraId="61578E1C" w14:textId="77777777" w:rsidR="00D67AA2" w:rsidRDefault="00000000">
      <w:pPr>
        <w:spacing w:before="60" w:after="20"/>
      </w:pPr>
      <w:r>
        <w:rPr>
          <w:rFonts w:ascii="Arial" w:eastAsia="Arial" w:hAnsi="Arial" w:cs="Arial"/>
          <w:b/>
          <w:bCs/>
          <w:color w:val="2E4E7E"/>
          <w:sz w:val="18"/>
          <w:szCs w:val="18"/>
        </w:rPr>
        <w:t>DESIGN, SETTING, AND METHODS</w:t>
      </w:r>
    </w:p>
    <w:p w14:paraId="76F3C4ED" w14:textId="77777777" w:rsidR="00D67AA2" w:rsidRDefault="00000000">
      <w:pPr>
        <w:spacing w:before="20" w:after="60"/>
        <w:jc w:val="both"/>
      </w:pPr>
      <w:r>
        <w:t>Citation-year analysis of all 176 Pediatric Nephrology Atlas entries (March 2026 version). Earliest cited publication year per condition used as proxy for date of recognition as a distinct clinical entity. Classification into well-established, molecularly redefined, and entirely new categories reflects expert judgment on whether the condition existed as a meaningfully distinct entity in year 2000. Counts are approximate for conditions at the 1999/2000 boundary.</w:t>
      </w:r>
    </w:p>
    <w:p w14:paraId="00D6A280" w14:textId="77777777" w:rsidR="00D67AA2" w:rsidRDefault="00000000">
      <w:pPr>
        <w:spacing w:before="60" w:after="20"/>
      </w:pPr>
      <w:r>
        <w:rPr>
          <w:rFonts w:ascii="Arial" w:eastAsia="Arial" w:hAnsi="Arial" w:cs="Arial"/>
          <w:b/>
          <w:bCs/>
          <w:color w:val="2E4E7E"/>
          <w:sz w:val="18"/>
          <w:szCs w:val="18"/>
        </w:rPr>
        <w:t>RESULTS</w:t>
      </w:r>
    </w:p>
    <w:p w14:paraId="4524B947" w14:textId="77777777" w:rsidR="00D67AA2" w:rsidRDefault="00000000">
      <w:pPr>
        <w:spacing w:before="20" w:after="60"/>
        <w:jc w:val="both"/>
      </w:pPr>
      <w:r w:rsidRPr="0030112E">
        <w:rPr>
          <w:b/>
          <w:bCs/>
        </w:rPr>
        <w:t>A year-2000 Pediatric Nephrology Atlas would have contained approximately 105 of today's 176 conditions — a +68% growth over 25 years</w:t>
      </w:r>
      <w:r>
        <w:t>. Approximately 40 conditions are entirely new since 2000; approximately 31 were clinically known but molecularly redefined into distinct entities. The 1990s established foundational molecular genetics (~47 entries); the 2000s added the highest single-decade count (~65 entries), driven by complement pathway mapping, APOL1 discovery, and WNK kinase characterization; the 2010s added ~40 more, including STING-pathway TMA (2014), KDIGO AKI staging (2012), and COVID-19/MIS-C nephropathy (2020). Many new conditions have fewer than 500 known pediatric cases globally.</w:t>
      </w:r>
    </w:p>
    <w:p w14:paraId="2CE4BC27" w14:textId="77777777" w:rsidR="00D67AA2" w:rsidRDefault="00000000">
      <w:pPr>
        <w:spacing w:before="60" w:after="20"/>
      </w:pPr>
      <w:r>
        <w:rPr>
          <w:rFonts w:ascii="Arial" w:eastAsia="Arial" w:hAnsi="Arial" w:cs="Arial"/>
          <w:b/>
          <w:bCs/>
          <w:color w:val="2E4E7E"/>
          <w:sz w:val="18"/>
          <w:szCs w:val="18"/>
        </w:rPr>
        <w:t>CONCLUSIONS AND RELEVANCE</w:t>
      </w:r>
    </w:p>
    <w:p w14:paraId="5E12DD90" w14:textId="2F970F26" w:rsidR="00D67AA2" w:rsidRDefault="00000000">
      <w:pPr>
        <w:spacing w:before="20" w:after="60"/>
        <w:jc w:val="both"/>
      </w:pPr>
      <w:r>
        <w:t xml:space="preserve">Roughly 40% of the conditions in the Pediatric Nephrology Atlas did not exist as recognized distinct entities in 2000. The acceleration is ongoing — a 2050 Atlas would plausibly contain 250–300 conditions at current discovery rates. The resulting patient populations are too small for any single </w:t>
      </w:r>
      <w:r>
        <w:lastRenderedPageBreak/>
        <w:t xml:space="preserve">center to study. Federated, privacy-preserving AI is not a methodological preference for these diseases — it is a mathematical necessity. </w:t>
      </w:r>
    </w:p>
    <w:p w14:paraId="14CABC66" w14:textId="77777777" w:rsidR="00D67AA2" w:rsidRDefault="00D67AA2">
      <w:pPr>
        <w:spacing w:before="60" w:after="60"/>
      </w:pPr>
    </w:p>
    <w:p w14:paraId="40AA5BCA" w14:textId="77777777" w:rsidR="00D67AA2" w:rsidRDefault="00000000">
      <w:pPr>
        <w:spacing w:before="40" w:after="80"/>
      </w:pPr>
      <w:r>
        <w:rPr>
          <w:rFonts w:ascii="Arial" w:eastAsia="Arial" w:hAnsi="Arial" w:cs="Arial"/>
          <w:i/>
          <w:iCs/>
          <w:color w:val="555555"/>
          <w:sz w:val="17"/>
          <w:szCs w:val="17"/>
        </w:rPr>
        <w:t xml:space="preserve">Pediatric Moonshot | Pediatric Nephrology Atlas 2026. </w:t>
      </w:r>
      <w:proofErr w:type="gramStart"/>
      <w:r>
        <w:rPr>
          <w:rFonts w:ascii="Arial" w:eastAsia="Arial" w:hAnsi="Arial" w:cs="Arial"/>
          <w:i/>
          <w:iCs/>
          <w:color w:val="555555"/>
          <w:sz w:val="17"/>
          <w:szCs w:val="17"/>
        </w:rPr>
        <w:t>doi:10.PM</w:t>
      </w:r>
      <w:proofErr w:type="gramEnd"/>
      <w:r>
        <w:rPr>
          <w:rFonts w:ascii="Arial" w:eastAsia="Arial" w:hAnsi="Arial" w:cs="Arial"/>
          <w:i/>
          <w:iCs/>
          <w:color w:val="555555"/>
          <w:sz w:val="17"/>
          <w:szCs w:val="17"/>
        </w:rPr>
        <w:t>/nephro-25yr.2026</w:t>
      </w:r>
    </w:p>
    <w:p w14:paraId="629019D7" w14:textId="77777777" w:rsidR="00D67AA2" w:rsidRDefault="00D67AA2">
      <w:pPr>
        <w:pBdr>
          <w:bottom w:val="single" w:sz="6" w:space="1" w:color="2E4E7E"/>
        </w:pBdr>
        <w:spacing w:before="100" w:after="100"/>
      </w:pPr>
    </w:p>
    <w:p w14:paraId="4D3C358E" w14:textId="77777777" w:rsidR="00D67AA2" w:rsidRDefault="00D67A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7AA2" w14:paraId="16E6E717" w14:textId="77777777">
        <w:tblPrEx>
          <w:tblCellMar>
            <w:top w:w="0" w:type="dxa"/>
            <w:bottom w:w="0" w:type="dxa"/>
          </w:tblCellMar>
        </w:tblPrEx>
        <w:tc>
          <w:tcPr>
            <w:tcW w:w="0" w:type="auto"/>
            <w:tcBorders>
              <w:top w:val="single" w:sz="8" w:space="0" w:color="2E4E7E"/>
              <w:left w:val="single" w:sz="8" w:space="0" w:color="2E4E7E"/>
              <w:bottom w:val="single" w:sz="8" w:space="0" w:color="2E4E7E"/>
              <w:right w:val="single" w:sz="8" w:space="0" w:color="2E4E7E"/>
            </w:tcBorders>
            <w:shd w:val="clear" w:color="auto" w:fill="EAF0F8"/>
            <w:tcMar>
              <w:top w:w="100" w:type="dxa"/>
              <w:left w:w="180" w:type="dxa"/>
              <w:bottom w:w="100" w:type="dxa"/>
              <w:right w:w="180" w:type="dxa"/>
            </w:tcMar>
          </w:tcPr>
          <w:p w14:paraId="19DF6A5F" w14:textId="77777777" w:rsidR="00D67AA2" w:rsidRDefault="00000000">
            <w:r>
              <w:rPr>
                <w:rFonts w:ascii="Arial" w:eastAsia="Arial" w:hAnsi="Arial" w:cs="Arial"/>
                <w:b/>
                <w:bCs/>
                <w:color w:val="2E4E7E"/>
                <w:sz w:val="20"/>
                <w:szCs w:val="20"/>
              </w:rPr>
              <w:t>Key Points</w:t>
            </w:r>
          </w:p>
          <w:p w14:paraId="2B007390" w14:textId="77777777" w:rsidR="00D67AA2" w:rsidRDefault="00D67AA2">
            <w:pPr>
              <w:spacing w:before="60" w:after="60"/>
            </w:pPr>
          </w:p>
          <w:p w14:paraId="4B5E25DE" w14:textId="1605F332" w:rsidR="00D67AA2" w:rsidRDefault="00000000">
            <w:r w:rsidRPr="0030112E">
              <w:rPr>
                <w:rFonts w:ascii="Arial" w:eastAsia="Arial" w:hAnsi="Arial" w:cs="Arial"/>
                <w:b/>
                <w:bCs/>
              </w:rPr>
              <w:t xml:space="preserve">Question </w:t>
            </w:r>
            <w:r>
              <w:t>How much has pediatric nephrology knowledge grown since 2000, and what drove that growth?</w:t>
            </w:r>
          </w:p>
          <w:p w14:paraId="75DF8538" w14:textId="77777777" w:rsidR="00D67AA2" w:rsidRDefault="00D67AA2">
            <w:pPr>
              <w:spacing w:before="60" w:after="60"/>
            </w:pPr>
          </w:p>
          <w:p w14:paraId="1B06B1CD" w14:textId="7D4F7B55" w:rsidR="00D67AA2" w:rsidRDefault="00000000">
            <w:r w:rsidRPr="0030112E">
              <w:rPr>
                <w:rFonts w:ascii="Arial" w:eastAsia="Arial" w:hAnsi="Arial" w:cs="Arial"/>
                <w:b/>
                <w:bCs/>
              </w:rPr>
              <w:t xml:space="preserve">Findings </w:t>
            </w:r>
            <w:r>
              <w:t>The Pediatric Nephrology Atlas grew by +68% between 2000 and 2026 — from approximately 105 to 176 recognized conditions — the largest proportional growth of any Pediatric Moonshot atlas. Roughly 40% of what we now know did not exist as a recognized, distinct clinical entity 25 years ago. Growth is driven by genomic splitting of umbrella diagnoses, entirely new molecular entities, and NGS-enabled recognition of ultra-rare conditions.</w:t>
            </w:r>
          </w:p>
          <w:p w14:paraId="6ADFD412" w14:textId="77777777" w:rsidR="00D67AA2" w:rsidRDefault="00D67AA2">
            <w:pPr>
              <w:spacing w:before="60" w:after="60"/>
            </w:pPr>
          </w:p>
          <w:p w14:paraId="27D7A523" w14:textId="6D3B7898" w:rsidR="00D67AA2" w:rsidRDefault="00000000">
            <w:r w:rsidRPr="0030112E">
              <w:rPr>
                <w:rFonts w:ascii="Arial" w:eastAsia="Arial" w:hAnsi="Arial" w:cs="Arial"/>
                <w:b/>
                <w:bCs/>
              </w:rPr>
              <w:t xml:space="preserve">Meaning </w:t>
            </w:r>
            <w:r>
              <w:t xml:space="preserve">Many of the 71 new conditions have fewer than 500 known pediatric cases globally. They cannot be studied at a single site. </w:t>
            </w:r>
            <w:r w:rsidR="0030112E">
              <w:t>Privacy-preserving, f</w:t>
            </w:r>
            <w:r>
              <w:t>ederated AI is not a convenience for these patients — it is the only viable research architecture.</w:t>
            </w:r>
            <w:r w:rsidR="0030112E">
              <w:t xml:space="preserve"> </w:t>
            </w:r>
            <w:proofErr w:type="gramStart"/>
            <w:r w:rsidR="0030112E">
              <w:t>Furthermore</w:t>
            </w:r>
            <w:proofErr w:type="gramEnd"/>
            <w:r w:rsidR="0030112E">
              <w:t xml:space="preserve"> consider that in another 25 years if the list grows </w:t>
            </w:r>
            <w:proofErr w:type="gramStart"/>
            <w:r w:rsidR="0030112E">
              <w:t>68%</w:t>
            </w:r>
            <w:proofErr w:type="gramEnd"/>
            <w:r w:rsidR="0030112E">
              <w:t xml:space="preserve"> we’ll be at 295 known kidney diseases.</w:t>
            </w:r>
          </w:p>
        </w:tc>
      </w:tr>
    </w:tbl>
    <w:p w14:paraId="333C19C0" w14:textId="77777777" w:rsidR="00D67AA2" w:rsidRDefault="00D67AA2">
      <w:pPr>
        <w:spacing w:before="60" w:after="60"/>
      </w:pPr>
    </w:p>
    <w:p w14:paraId="23B49DAA" w14:textId="77777777" w:rsidR="00D67AA2" w:rsidRDefault="00000000">
      <w:pPr>
        <w:pStyle w:val="Heading1"/>
        <w:spacing w:before="240"/>
      </w:pPr>
      <w:r>
        <w:rPr>
          <w:sz w:val="24"/>
          <w:szCs w:val="24"/>
        </w:rPr>
        <w:t>The Question</w:t>
      </w:r>
    </w:p>
    <w:p w14:paraId="63113E19" w14:textId="77777777" w:rsidR="00D67AA2" w:rsidRDefault="00D67A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67AA2" w14:paraId="5BE6C630" w14:textId="77777777">
        <w:tblPrEx>
          <w:tblCellMar>
            <w:top w:w="0" w:type="dxa"/>
            <w:bottom w:w="0" w:type="dxa"/>
          </w:tblCellMar>
        </w:tblPrEx>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27883FE4" w14:textId="77777777" w:rsidR="00D67AA2" w:rsidRDefault="00000000">
            <w:pPr>
              <w:jc w:val="center"/>
            </w:pPr>
            <w:r>
              <w:rPr>
                <w:rFonts w:ascii="Arial" w:eastAsia="Arial" w:hAnsi="Arial" w:cs="Arial"/>
                <w:b/>
                <w:bCs/>
                <w:color w:val="2E4E7E"/>
                <w:sz w:val="52"/>
                <w:szCs w:val="52"/>
              </w:rPr>
              <w:t>176</w:t>
            </w:r>
          </w:p>
          <w:p w14:paraId="3107DC81" w14:textId="77777777" w:rsidR="00D67AA2" w:rsidRDefault="00000000">
            <w:pPr>
              <w:jc w:val="center"/>
            </w:pPr>
            <w:r>
              <w:rPr>
                <w:rFonts w:ascii="Arial" w:eastAsia="Arial" w:hAnsi="Arial" w:cs="Arial"/>
                <w:color w:val="555555"/>
                <w:sz w:val="18"/>
                <w:szCs w:val="18"/>
              </w:rPr>
              <w:t>Conditions today (March 2026 Atlas)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15A31011" w14:textId="77777777" w:rsidR="00D67AA2" w:rsidRDefault="00000000">
            <w:pPr>
              <w:jc w:val="center"/>
            </w:pPr>
            <w:r>
              <w:rPr>
                <w:rFonts w:ascii="Arial" w:eastAsia="Arial" w:hAnsi="Arial" w:cs="Arial"/>
                <w:b/>
                <w:bCs/>
                <w:color w:val="2E4E7E"/>
                <w:sz w:val="52"/>
                <w:szCs w:val="52"/>
              </w:rPr>
              <w:t>~105</w:t>
            </w:r>
          </w:p>
          <w:p w14:paraId="2BAC0F6E" w14:textId="77777777" w:rsidR="00D67AA2" w:rsidRDefault="00000000">
            <w:pPr>
              <w:jc w:val="center"/>
            </w:pPr>
            <w:r>
              <w:rPr>
                <w:rFonts w:ascii="Arial" w:eastAsia="Arial" w:hAnsi="Arial" w:cs="Arial"/>
                <w:color w:val="555555"/>
                <w:sz w:val="18"/>
                <w:szCs w:val="18"/>
              </w:rPr>
              <w:t>Estimated in 2000 (year-2000 atlas)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02D8ABBB" w14:textId="77777777" w:rsidR="00D67AA2" w:rsidRDefault="00000000">
            <w:pPr>
              <w:jc w:val="center"/>
            </w:pPr>
            <w:r>
              <w:rPr>
                <w:rFonts w:ascii="Arial" w:eastAsia="Arial" w:hAnsi="Arial" w:cs="Arial"/>
                <w:b/>
                <w:bCs/>
                <w:color w:val="2E4E7E"/>
                <w:sz w:val="52"/>
                <w:szCs w:val="52"/>
              </w:rPr>
              <w:t>~71</w:t>
            </w:r>
          </w:p>
          <w:p w14:paraId="4D40E453" w14:textId="77777777" w:rsidR="00D67AA2" w:rsidRDefault="00000000">
            <w:pPr>
              <w:jc w:val="center"/>
            </w:pPr>
            <w:r>
              <w:rPr>
                <w:rFonts w:ascii="Arial" w:eastAsia="Arial" w:hAnsi="Arial" w:cs="Arial"/>
                <w:color w:val="555555"/>
                <w:sz w:val="18"/>
                <w:szCs w:val="18"/>
              </w:rPr>
              <w:t>New since 2000 (conditions)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4D841141" w14:textId="77777777" w:rsidR="00D67AA2" w:rsidRDefault="00000000">
            <w:pPr>
              <w:jc w:val="center"/>
            </w:pPr>
            <w:r>
              <w:rPr>
                <w:rFonts w:ascii="Arial" w:eastAsia="Arial" w:hAnsi="Arial" w:cs="Arial"/>
                <w:b/>
                <w:bCs/>
                <w:color w:val="2E4E7E"/>
                <w:sz w:val="52"/>
                <w:szCs w:val="52"/>
              </w:rPr>
              <w:t>+68%</w:t>
            </w:r>
          </w:p>
          <w:p w14:paraId="5E96D7EF" w14:textId="77777777" w:rsidR="00D67AA2" w:rsidRDefault="00000000">
            <w:pPr>
              <w:jc w:val="center"/>
            </w:pPr>
            <w:r>
              <w:rPr>
                <w:rFonts w:ascii="Arial" w:eastAsia="Arial" w:hAnsi="Arial" w:cs="Arial"/>
                <w:color w:val="555555"/>
                <w:sz w:val="18"/>
                <w:szCs w:val="18"/>
              </w:rPr>
              <w:t>Knowledge growth in 25 years</w:t>
            </w:r>
          </w:p>
        </w:tc>
      </w:tr>
    </w:tbl>
    <w:p w14:paraId="3F4DFB86" w14:textId="77777777" w:rsidR="00D67AA2" w:rsidRDefault="00D67AA2">
      <w:pPr>
        <w:spacing w:before="60" w:after="60"/>
      </w:pPr>
    </w:p>
    <w:p w14:paraId="2DB72696" w14:textId="77777777" w:rsidR="00D67AA2" w:rsidRDefault="00000000">
      <w:pPr>
        <w:spacing w:before="60" w:after="80"/>
        <w:jc w:val="both"/>
      </w:pPr>
      <w:r>
        <w:t xml:space="preserve">If we had built this atlas in 2000 — at the dawn of the genomics era, before the Human Genome Project was complete — how many of the 176 conditions would have appeared? The answer, derived from citation-year analysis of every entry in the Nephrology Atlas, is approximately 105. In other words, roughly 40% of what we now know did not exist as a recognized, distinct clinical entity 25 years ago. This is the largest proportional knowledge growth of any Pediatric Moonshot atlas — +68% compared with +37% for cardiology and +30% for oncology — and it reflects the extraordinary </w:t>
      </w:r>
      <w:r>
        <w:lastRenderedPageBreak/>
        <w:t>degree to which the kidney's genetic and molecular architecture was unmapped at the turn of the millennium.</w:t>
      </w:r>
    </w:p>
    <w:p w14:paraId="66501956" w14:textId="77777777" w:rsidR="00D67AA2" w:rsidRDefault="00000000">
      <w:pPr>
        <w:spacing w:before="60" w:after="80"/>
        <w:jc w:val="both"/>
      </w:pPr>
      <w:r>
        <w:t>This is not a reflection of incomplete clinical observation in 2000. Pediatric nephrologists in 2000 were highly skilled diagnosticians. What they lacked was molecular resolution: the ability to distinguish one form of steroid-resistant nephrotic syndrome from another, one glomerulopathy from the next, or one complement-mediated thrombotic microangiopathy from a clinically identical condition with a different driver. Many conditions were clinically observed but not yet defined with enough molecular precision to constitute separate atlas entries. Others were grouped under umbrella terms that genomics would later split into five or ten distinct diseases. And a significant number simply did not exist as recognized entities at all.</w:t>
      </w:r>
    </w:p>
    <w:p w14:paraId="29E8F812" w14:textId="77777777" w:rsidR="00D67AA2" w:rsidRDefault="00000000">
      <w:pPr>
        <w:pStyle w:val="Heading1"/>
        <w:spacing w:before="240"/>
      </w:pPr>
      <w:r>
        <w:rPr>
          <w:sz w:val="24"/>
          <w:szCs w:val="24"/>
        </w:rPr>
        <w:t>Three Categories of Change</w:t>
      </w:r>
    </w:p>
    <w:p w14:paraId="69819FBB" w14:textId="77777777" w:rsidR="00D67AA2" w:rsidRDefault="00D67A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060"/>
      </w:tblGrid>
      <w:tr w:rsidR="00D67AA2" w14:paraId="25FA60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2CD9B6EE" w14:textId="77777777" w:rsidR="00D67AA2" w:rsidRDefault="00000000">
            <w:r>
              <w:rPr>
                <w:rFonts w:ascii="Arial" w:eastAsia="Arial" w:hAnsi="Arial" w:cs="Arial"/>
                <w:b/>
                <w:bCs/>
                <w:color w:val="FFFFFF"/>
                <w:sz w:val="17"/>
                <w:szCs w:val="17"/>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374B94D0" w14:textId="77777777" w:rsidR="00D67AA2" w:rsidRDefault="00000000">
            <w:r>
              <w:rPr>
                <w:rFonts w:ascii="Arial" w:eastAsia="Arial" w:hAnsi="Arial" w:cs="Arial"/>
                <w:b/>
                <w:bCs/>
                <w:color w:val="FFFFFF"/>
                <w:sz w:val="17"/>
                <w:szCs w:val="17"/>
              </w:rPr>
              <w:t>Count</w:t>
            </w:r>
          </w:p>
        </w:tc>
        <w:tc>
          <w:tcPr>
            <w:tcW w:w="606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6998CCEC" w14:textId="77777777" w:rsidR="00D67AA2" w:rsidRDefault="00000000">
            <w:r>
              <w:rPr>
                <w:rFonts w:ascii="Arial" w:eastAsia="Arial" w:hAnsi="Arial" w:cs="Arial"/>
                <w:b/>
                <w:bCs/>
                <w:color w:val="FFFFFF"/>
                <w:sz w:val="17"/>
                <w:szCs w:val="17"/>
              </w:rPr>
              <w:t>Description</w:t>
            </w:r>
          </w:p>
        </w:tc>
      </w:tr>
      <w:tr w:rsidR="00D67AA2" w14:paraId="297E55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1422A9C" w14:textId="77777777" w:rsidR="00D67AA2" w:rsidRDefault="00000000">
            <w:r>
              <w:rPr>
                <w:sz w:val="17"/>
                <w:szCs w:val="17"/>
              </w:rPr>
              <w:t>Well-established pre-2000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2695C25" w14:textId="77777777" w:rsidR="00D67AA2" w:rsidRDefault="00000000">
            <w:r>
              <w:rPr>
                <w:sz w:val="17"/>
                <w:szCs w:val="17"/>
              </w:rPr>
              <w:t>~105</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F00B722" w14:textId="77777777" w:rsidR="00D67AA2" w:rsidRDefault="00000000">
            <w:r>
              <w:rPr>
                <w:sz w:val="17"/>
                <w:szCs w:val="17"/>
              </w:rPr>
              <w:t xml:space="preserve">Clinically recognized before 2000. Includes all structural/anatomical entities (CAKUT, PUV, horseshoe kidney), classical tubulopathies (Bartter, Gitelman, Liddle), and major </w:t>
            </w:r>
            <w:proofErr w:type="spellStart"/>
            <w:r>
              <w:rPr>
                <w:sz w:val="17"/>
                <w:szCs w:val="17"/>
              </w:rPr>
              <w:t>glomerulonephritides</w:t>
            </w:r>
            <w:proofErr w:type="spellEnd"/>
            <w:r>
              <w:rPr>
                <w:sz w:val="17"/>
                <w:szCs w:val="17"/>
              </w:rPr>
              <w:t>.</w:t>
            </w:r>
          </w:p>
        </w:tc>
      </w:tr>
      <w:tr w:rsidR="00D67AA2" w14:paraId="2E583E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4AA90" w14:textId="77777777" w:rsidR="00D67AA2" w:rsidRDefault="00000000">
            <w:r>
              <w:rPr>
                <w:sz w:val="17"/>
                <w:szCs w:val="17"/>
              </w:rPr>
              <w:t>Molecularly redefined post-2000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003B3E" w14:textId="77777777" w:rsidR="00D67AA2" w:rsidRDefault="00000000">
            <w:r>
              <w:rPr>
                <w:sz w:val="17"/>
                <w:szCs w:val="17"/>
              </w:rPr>
              <w:t>~31</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ED86C6" w14:textId="77777777" w:rsidR="00D67AA2" w:rsidRDefault="00000000">
            <w:r>
              <w:rPr>
                <w:sz w:val="17"/>
                <w:szCs w:val="17"/>
              </w:rPr>
              <w:t>Clinically observed before 2000 but split into distinct entities by genomics: MPGN → C3G + IC-MPGN; FSGS → primary/genetic/APOL1; Alport syndrome → X-linked/AR/AD with different prognoses and treatment thresholds.</w:t>
            </w:r>
          </w:p>
        </w:tc>
      </w:tr>
      <w:tr w:rsidR="00D67AA2" w14:paraId="5F9FC5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A566C44" w14:textId="77777777" w:rsidR="00D67AA2" w:rsidRDefault="00000000">
            <w:r>
              <w:rPr>
                <w:sz w:val="17"/>
                <w:szCs w:val="17"/>
              </w:rPr>
              <w:t>Entirely new since 2000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84225A" w14:textId="77777777" w:rsidR="00D67AA2" w:rsidRDefault="00000000">
            <w:r>
              <w:rPr>
                <w:sz w:val="17"/>
                <w:szCs w:val="17"/>
              </w:rPr>
              <w:t>~40</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826B2A2" w14:textId="77777777" w:rsidR="00D67AA2" w:rsidRDefault="00000000">
            <w:r>
              <w:rPr>
                <w:sz w:val="17"/>
                <w:szCs w:val="17"/>
              </w:rPr>
              <w:t>Did not exist as recognized distinct conditions: APOL1 nephropathy (2010), DGKE-HUS (2013), STING-pathway TMA (2014), Primary Hyperoxaluria Type 3/HOGA1 (2010), CoQ10 nephropathy subtypes.</w:t>
            </w:r>
          </w:p>
        </w:tc>
      </w:tr>
    </w:tbl>
    <w:p w14:paraId="0F74E262" w14:textId="77777777" w:rsidR="00D67AA2" w:rsidRDefault="00D67AA2">
      <w:pPr>
        <w:spacing w:before="60" w:after="60"/>
      </w:pPr>
    </w:p>
    <w:p w14:paraId="121D7BF5" w14:textId="77777777" w:rsidR="00D67AA2" w:rsidRDefault="00000000">
      <w:pPr>
        <w:pStyle w:val="Heading1"/>
        <w:spacing w:before="240"/>
      </w:pPr>
      <w:r>
        <w:rPr>
          <w:sz w:val="24"/>
          <w:szCs w:val="24"/>
        </w:rPr>
        <w:t>Where the Growth Came From</w:t>
      </w:r>
    </w:p>
    <w:p w14:paraId="10291BE1" w14:textId="77777777" w:rsidR="00D67AA2" w:rsidRDefault="00000000">
      <w:pPr>
        <w:pStyle w:val="Heading2"/>
        <w:spacing w:before="160"/>
      </w:pPr>
      <w:r>
        <w:t xml:space="preserve">Genomics Split Single Diseases </w:t>
      </w:r>
      <w:proofErr w:type="gramStart"/>
      <w:r>
        <w:t>Into</w:t>
      </w:r>
      <w:proofErr w:type="gramEnd"/>
      <w:r>
        <w:t xml:space="preserve"> Many</w:t>
      </w:r>
    </w:p>
    <w:p w14:paraId="141F5138" w14:textId="77777777" w:rsidR="00D67AA2" w:rsidRDefault="00000000">
      <w:pPr>
        <w:spacing w:before="60" w:after="80"/>
        <w:jc w:val="both"/>
      </w:pPr>
      <w:r>
        <w:t>The single most consequential driver of growth was the molecular splitting of umbrella diagnoses. MPGN Type I is now three distinct diseases with different genetic drivers, complement pathways, and therapies: C3 glomerulopathy (C3G), immune complex-mediated MPGN (IC-MPGN), and the complement pathway-specific entities within C3G (C3 nephritis factor-driven, CFH/CFI/CFB mutation-driven, CFHR5 nephropathy). FSGS is not one disease — it is at least three molecularly distinct entities with different recurrence risks post-transplant and different drug targets: primary FSGS (podocyte injury-driven, high recurrence), genetic FSGS (monogenic podocytopathies, low recurrence), and APOL1-mediated FSGS (population-specific, intermediate recurrence with emerging targeted therapy from Vertex/VX-147). Alport syndrome, long treated as a single X-linked condition, is now recognized as three hereditary forms (XLAS, ARAS, ADAS) with meaningfully different progression rates, hearing loss severity, and treatment thresholds for RAAS blockade initiation. Each molecular split creates new atlas entries because each split creates a new patient population requiring distinct management.</w:t>
      </w:r>
    </w:p>
    <w:p w14:paraId="107B99F4" w14:textId="77777777" w:rsidR="00D67AA2" w:rsidRDefault="00000000">
      <w:pPr>
        <w:pStyle w:val="Heading2"/>
        <w:spacing w:before="160"/>
      </w:pPr>
      <w:r>
        <w:t>Entirely New Molecular Entities Emerged</w:t>
      </w:r>
    </w:p>
    <w:p w14:paraId="70CDD97D" w14:textId="77777777" w:rsidR="00D67AA2" w:rsidRDefault="00000000">
      <w:pPr>
        <w:spacing w:before="60" w:after="80"/>
        <w:jc w:val="both"/>
      </w:pPr>
      <w:r>
        <w:lastRenderedPageBreak/>
        <w:t xml:space="preserve">APOL1-mediated nephropathy was not discovered until 2010 — yet it accounts for 35–50% of FSGS in Black children in the US, representing one of the most consequential genetic discoveries in nephrology history. DGKE-HUS was unknown until 2013: complement-independent HUS caused by DGKE mutations, presenting in infancy, with a distinct pathophysiology requiring different management than complement-mediated </w:t>
      </w:r>
      <w:proofErr w:type="spellStart"/>
      <w:r>
        <w:t>aHUS</w:t>
      </w:r>
      <w:proofErr w:type="spellEnd"/>
      <w:r>
        <w:t xml:space="preserve"> and insensitive to eculizumab. The STING/interferon-pathway TMA entity dates to 2014 — a type I interferonopathy causing TMA through a completely different mechanism than any previously recognized thrombotic microangiopathy. CoQ10 biosynthesis defects as a treatable cause of FSGS were mapped between 2011 and 2013 across multiple genes (COQ2, COQ6, COQ8B/ADCK4); CoQ10 supplementation can stabilize or reverse renal function — the only condition in the entire nephrotic syndrome category with a mitochondrial supplement as primary therapy. Primary Hyperoxaluria Type 3 (HOGA1) was identified in 2010, completing a triad of distinct hyperoxaluria conditions. Each of these represents a patient population previously unrecognized, misclassified under a related condition, or simply missed.</w:t>
      </w:r>
    </w:p>
    <w:p w14:paraId="241D84ED" w14:textId="77777777" w:rsidR="00D67AA2" w:rsidRDefault="00000000">
      <w:pPr>
        <w:pStyle w:val="Heading2"/>
        <w:spacing w:before="160"/>
      </w:pPr>
      <w:r>
        <w:t>Next-Generation Sequencing Enabled Ultra-Rare Recognition</w:t>
      </w:r>
    </w:p>
    <w:p w14:paraId="1B813CF6" w14:textId="77777777" w:rsidR="00D67AA2" w:rsidRDefault="00000000">
      <w:pPr>
        <w:spacing w:before="60" w:after="80"/>
        <w:jc w:val="both"/>
      </w:pPr>
      <w:r>
        <w:t>Many conditions in the Atlas — Pierson syndrome (LAMB2 mutations, diffuse mesangial sclerosis with ocular abnormalities), Galloway-Mowat syndrome (WDR73/OSGEP/TP53RK/TPRKB mutations, nephrotic syndrome with microcephaly), Schimke immuno-osseous dysplasia (SMARCAL1 mutations, focal segmental glomerulosclerosis with skeletal dysplasia and T-cell immunodeficiency), DGKE-HUS — have fewer than 300 known cases worldwide. Their recognition as distinct entities was only possible once whole-exome sequencing made it practical to identify causative mutations in small patient populations. Without NGS, these patients remained diagnosed as 'steroid-resistant nephrotic syndrome of unknown etiology' or 'unexplained CKD' — correct as clinical descriptions but useless as guides to management, prognosis, or transplant planning. The diagnostic yield of NGS panel testing in pediatric steroid-resistant nephrotic syndrome now exceeds 30% at specialized centers, with each positive result enabling targeted counseling, recurrence risk estimation, and — in an increasing number of conditions — specific therapy.</w:t>
      </w:r>
    </w:p>
    <w:p w14:paraId="480C5A12" w14:textId="77777777" w:rsidR="00D67AA2" w:rsidRDefault="00000000">
      <w:pPr>
        <w:pStyle w:val="Heading1"/>
        <w:spacing w:before="240"/>
      </w:pPr>
      <w:r>
        <w:rPr>
          <w:sz w:val="24"/>
          <w:szCs w:val="24"/>
        </w:rPr>
        <w:t>Decade-by-Decade Acceleration</w:t>
      </w:r>
    </w:p>
    <w:p w14:paraId="1CE840EE" w14:textId="77777777" w:rsidR="00D67AA2" w:rsidRDefault="00000000">
      <w:pPr>
        <w:spacing w:before="60" w:after="80"/>
        <w:jc w:val="both"/>
      </w:pPr>
      <w:r>
        <w:t>The 1990s were the foundational decade for pediatric nephrology molecular genetics. The genes for ARPKD (PKHD1), nephronophthisis (NPHP1), Bartter syndromes 1–3 (SLC12A1, KCNJ1, CLCNKB), Gitelman syndrome (SLC12A3), Dent disease (CLCN5), cystinosis (CTNS), and NPHS1 (</w:t>
      </w:r>
      <w:proofErr w:type="spellStart"/>
      <w:r>
        <w:t>nephrin</w:t>
      </w:r>
      <w:proofErr w:type="spellEnd"/>
      <w:r>
        <w:t>, causing Finnish congenital nephrotic syndrome) were all mapped for the first time. Liddle syndrome (SCNN1B/SCNN1G) and many other tubulopathies were molecularly characterized. Approximately 47 atlas entries have their foundational molecular citation in the 1990s — establishing the genetic architecture of hereditary kidney disease before the Human Genome Project was complete.</w:t>
      </w:r>
    </w:p>
    <w:p w14:paraId="150F9C84" w14:textId="77777777" w:rsidR="00D67AA2" w:rsidRDefault="00000000">
      <w:pPr>
        <w:spacing w:before="60" w:after="80"/>
        <w:jc w:val="both"/>
      </w:pPr>
      <w:r>
        <w:t xml:space="preserve">The 2000s added approximately 65 citation-era entries — the highest single-decade count in nephrology history. This is when the complement pathway was mapped in </w:t>
      </w:r>
      <w:proofErr w:type="spellStart"/>
      <w:r>
        <w:t>aHUS</w:t>
      </w:r>
      <w:proofErr w:type="spellEnd"/>
      <w:r>
        <w:t xml:space="preserve"> (CFH, CFI, CFB, C3, CD46 mutations) and C3 glomerulopathy, when APOL1 risk variants were identified, when WNK kinase mutations were characterized in </w:t>
      </w:r>
      <w:proofErr w:type="spellStart"/>
      <w:r>
        <w:t>pseudohypoaldosteronism</w:t>
      </w:r>
      <w:proofErr w:type="spellEnd"/>
      <w:r>
        <w:t xml:space="preserve"> type II (Gordon syndrome), and when systematic pediatric nephrology registries (NAPRTCS, ESPN, ERA-EDTA) began </w:t>
      </w:r>
      <w:r>
        <w:lastRenderedPageBreak/>
        <w:t>producing epidemiological data that formalized clinical entities with sufficient precision for atlas entry.</w:t>
      </w:r>
    </w:p>
    <w:p w14:paraId="12F43452" w14:textId="77777777" w:rsidR="00D67AA2" w:rsidRDefault="00000000">
      <w:pPr>
        <w:spacing w:before="60" w:after="80"/>
        <w:jc w:val="both"/>
      </w:pPr>
      <w:r>
        <w:t xml:space="preserve">The 2010s added approximately 40 more. STING-pathway TMA (2014), the formal KDIGO AKI staging framework (2012), </w:t>
      </w:r>
      <w:proofErr w:type="spellStart"/>
      <w:r>
        <w:t>caplacizumab</w:t>
      </w:r>
      <w:proofErr w:type="spellEnd"/>
      <w:r>
        <w:t>-era TTP management, and HOGA1 PH3 all emerged in this period. The atlas entry for COVID-19/MIS-C nephropathy carries a 2020 citation — a condition that did not exist five years before the atlas was completed — demonstrating that the discovery rate has not slowed and that entirely new mechanisms of kidney injury continue to emerge.</w:t>
      </w:r>
    </w:p>
    <w:p w14:paraId="3D87E264" w14:textId="77777777" w:rsidR="00D67AA2" w:rsidRDefault="00000000">
      <w:pPr>
        <w:pStyle w:val="Heading1"/>
        <w:spacing w:before="240"/>
      </w:pPr>
      <w:r>
        <w:rPr>
          <w:sz w:val="24"/>
          <w:szCs w:val="24"/>
        </w:rPr>
        <w:t>Implications for Pediatric Moonshot</w:t>
      </w:r>
    </w:p>
    <w:p w14:paraId="2104DD70" w14:textId="21E8211F" w:rsidR="00D67AA2" w:rsidRDefault="00000000">
      <w:pPr>
        <w:pStyle w:val="ListParagraph"/>
        <w:numPr>
          <w:ilvl w:val="0"/>
          <w:numId w:val="2"/>
        </w:numPr>
        <w:spacing w:before="40" w:after="60"/>
      </w:pPr>
      <w:r>
        <w:t xml:space="preserve">The +68% knowledge growth — </w:t>
      </w:r>
      <w:r w:rsidR="00C878F8">
        <w:t>one of the</w:t>
      </w:r>
      <w:r>
        <w:t xml:space="preserve"> largest of any </w:t>
      </w:r>
      <w:r w:rsidR="00C878F8">
        <w:t>specialization</w:t>
      </w:r>
      <w:r>
        <w:t xml:space="preserve"> — is concentrated in conditions where evidence generation requires federation by mathematical necessity. DGKE-HUS has fewer than 50 known pediatric cases globally. Pierson syndrome has fewer than 200. STING-pathway TMA has fewer than 50. At these population sizes, no single center can answer fundamental questions about natural history, optimal immunosuppression intensity, transplant timing, or recurrence risk. </w:t>
      </w:r>
      <w:r w:rsidR="00C878F8">
        <w:t>Privacy-preserving</w:t>
      </w:r>
      <w:r>
        <w:t xml:space="preserve"> federated model</w:t>
      </w:r>
      <w:r w:rsidR="00C878F8">
        <w:t>s</w:t>
      </w:r>
      <w:r>
        <w:t xml:space="preserve"> across children's hospital nephrology programs is the only viable path to evidence for these entities.</w:t>
      </w:r>
    </w:p>
    <w:p w14:paraId="52AFD3A0" w14:textId="51F16E3D" w:rsidR="00D67AA2" w:rsidRDefault="00000000">
      <w:pPr>
        <w:pStyle w:val="ListParagraph"/>
        <w:numPr>
          <w:ilvl w:val="0"/>
          <w:numId w:val="2"/>
        </w:numPr>
        <w:spacing w:before="40" w:after="60"/>
      </w:pPr>
      <w:r>
        <w:t>The APOL1 discovery represents the most important unmet data infrastructure need in pediatric nephrology. APOL1 G1/G2 variants account for 35–50% of FSGS in Black children — yet APOL1-stratified outcome data across pediatric populations is largely absent from the clinical literature. VX-147 (</w:t>
      </w:r>
      <w:proofErr w:type="spellStart"/>
      <w:r>
        <w:t>inaxaplin</w:t>
      </w:r>
      <w:proofErr w:type="spellEnd"/>
      <w:r>
        <w:t xml:space="preserve">, Vertex Pharmaceuticals) is in Phase 3 trials for APOL1-mediated FSGS in adults; the pediatric equivalent requires a federated registry linking APOL1 genotype to renal outcome data across children's hospitals with diverse patient populations. </w:t>
      </w:r>
      <w:r w:rsidR="00C878F8">
        <w:t xml:space="preserve">A </w:t>
      </w:r>
      <w:r>
        <w:t>privacy-preserving federated query infrastructure is designed for precisely this use case.</w:t>
      </w:r>
    </w:p>
    <w:p w14:paraId="3E5674F8" w14:textId="77777777" w:rsidR="00D67AA2" w:rsidRDefault="00000000">
      <w:pPr>
        <w:pStyle w:val="ListParagraph"/>
        <w:numPr>
          <w:ilvl w:val="0"/>
          <w:numId w:val="2"/>
        </w:numPr>
        <w:spacing w:before="40" w:after="60"/>
      </w:pPr>
      <w:r>
        <w:t>Genomic splitting of umbrella diagnoses (FSGS, MPGN, Alport, nephrotic syndrome) creates a recurring need for differential diagnosis support that AI is well-positioned to provide. An AI agent that integrates renal biopsy pathology, genetic panel results, complement studies, and family history to distinguish primary FSGS from genetic FSGS from APOL1 FSGS — and generates transplant recurrence risk estimates specific to each subtype — closes the diagnostic gap between molecular discovery and clinical decision-making at the point of care.</w:t>
      </w:r>
    </w:p>
    <w:p w14:paraId="15D231C0" w14:textId="361EF99F" w:rsidR="00D67AA2" w:rsidRDefault="00000000">
      <w:pPr>
        <w:pStyle w:val="ListParagraph"/>
        <w:numPr>
          <w:ilvl w:val="0"/>
          <w:numId w:val="2"/>
        </w:numPr>
        <w:spacing w:before="40" w:after="60"/>
      </w:pPr>
      <w:r>
        <w:t xml:space="preserve">If the rate of molecular discovery from 2000 to 2025 continues, a 2050 Nephrology Atlas would plausibly contain 250–300 conditions. Each new entity will be rarer than the ones before it — a consequence of the same molecular precision that splits umbrella categories into ever-smaller sub-populations. Building the federated data infrastructure now, while the patient populations are still measurable in hundreds rather than dozens, is the window </w:t>
      </w:r>
    </w:p>
    <w:p w14:paraId="3BCB5C8E" w14:textId="77777777" w:rsidR="00D67AA2" w:rsidRDefault="00000000">
      <w:pPr>
        <w:pStyle w:val="Heading1"/>
        <w:spacing w:before="240"/>
      </w:pPr>
      <w:r>
        <w:rPr>
          <w:sz w:val="24"/>
          <w:szCs w:val="24"/>
        </w:rPr>
        <w:t>Conclusions</w:t>
      </w:r>
    </w:p>
    <w:p w14:paraId="03AA8A35" w14:textId="3FD0F660" w:rsidR="00D67AA2" w:rsidRDefault="00000000">
      <w:pPr>
        <w:spacing w:before="60" w:after="80"/>
        <w:jc w:val="both"/>
      </w:pPr>
      <w:r>
        <w:t xml:space="preserve">Pediatric nephrology grew by +68% between 2000 and 2026 — from approximately 105 to 176 recognized conditions. This </w:t>
      </w:r>
      <w:proofErr w:type="gramStart"/>
      <w:r>
        <w:t xml:space="preserve">is </w:t>
      </w:r>
      <w:r w:rsidR="00C878F8">
        <w:t xml:space="preserve"> one</w:t>
      </w:r>
      <w:proofErr w:type="gramEnd"/>
      <w:r w:rsidR="00C878F8">
        <w:t xml:space="preserve"> </w:t>
      </w:r>
      <w:proofErr w:type="gramStart"/>
      <w:r w:rsidR="00C878F8">
        <w:t xml:space="preserve">of  </w:t>
      </w:r>
      <w:r>
        <w:t>the</w:t>
      </w:r>
      <w:proofErr w:type="gramEnd"/>
      <w:r>
        <w:t xml:space="preserve"> largest proportional </w:t>
      </w:r>
      <w:proofErr w:type="gramStart"/>
      <w:r>
        <w:t>growth</w:t>
      </w:r>
      <w:proofErr w:type="gramEnd"/>
      <w:r>
        <w:t xml:space="preserve"> of any</w:t>
      </w:r>
      <w:r w:rsidR="00C878F8">
        <w:t xml:space="preserve"> specialization</w:t>
      </w:r>
      <w:r>
        <w:t xml:space="preserve">, and it reflects the extraordinary degree to which the kidney's genetic architecture was unmapped at the turn </w:t>
      </w:r>
      <w:r>
        <w:lastRenderedPageBreak/>
        <w:t>of the millennium. Genomics split umbrella diagnoses into molecularly distinct diseases with different prognoses and treatment targets. Entirely new entities — APOL1 nephropathy, DGKE-HUS, STING-pathway TMA — emerged where clinical observation had found no boundary. Next-generation sequencing gave names and faces to patient populations previously absorbed into the diagnostic category of 'unknown etiology.'</w:t>
      </w:r>
    </w:p>
    <w:p w14:paraId="4084C5D5" w14:textId="77777777" w:rsidR="00D67AA2" w:rsidRDefault="00000000">
      <w:pPr>
        <w:spacing w:before="60" w:after="80"/>
        <w:jc w:val="both"/>
      </w:pPr>
      <w:r>
        <w:t xml:space="preserve">The consequence is a field where 40% of the disease landscape did not exist 25 years ago, and where a significant fraction of that new landscape consists of conditions too rare for any single institution to study. The Pediatric Nephrology Atlas is the condition-level map of where federated infrastructure is most urgently needed. </w:t>
      </w:r>
      <w:proofErr w:type="spellStart"/>
      <w:r>
        <w:t>BevelCloud's</w:t>
      </w:r>
      <w:proofErr w:type="spellEnd"/>
      <w:r>
        <w:t xml:space="preserve"> federated, privacy-preserving platform — connecting children's hospital nephrology programs node by node — is the research architecture that the genomics era has made necessary and that these children require.</w:t>
      </w:r>
    </w:p>
    <w:p w14:paraId="40A64728" w14:textId="77777777" w:rsidR="00D67AA2" w:rsidRDefault="00D67AA2">
      <w:pPr>
        <w:spacing w:before="60" w:after="60"/>
      </w:pPr>
    </w:p>
    <w:p w14:paraId="4604AE03" w14:textId="77777777" w:rsidR="00D67AA2" w:rsidRDefault="00D67AA2">
      <w:pPr>
        <w:pBdr>
          <w:bottom w:val="single" w:sz="6" w:space="1" w:color="2E4E7E"/>
        </w:pBdr>
        <w:spacing w:before="100" w:after="100"/>
      </w:pPr>
    </w:p>
    <w:p w14:paraId="3C9472D2" w14:textId="77777777" w:rsidR="00D67AA2" w:rsidRDefault="00000000">
      <w:pPr>
        <w:pStyle w:val="Heading2"/>
        <w:spacing w:before="160"/>
      </w:pPr>
      <w:r>
        <w:t>ARTICLE INFORMATION</w:t>
      </w:r>
    </w:p>
    <w:p w14:paraId="2605B1F1" w14:textId="77777777" w:rsidR="00D67AA2" w:rsidRDefault="00000000">
      <w:pPr>
        <w:spacing w:before="60" w:after="60"/>
      </w:pPr>
      <w:r>
        <w:rPr>
          <w:rFonts w:ascii="Arial" w:eastAsia="Arial" w:hAnsi="Arial" w:cs="Arial"/>
          <w:b/>
          <w:bCs/>
          <w:sz w:val="18"/>
          <w:szCs w:val="18"/>
        </w:rPr>
        <w:t xml:space="preserve">Published: </w:t>
      </w:r>
      <w:r>
        <w:t xml:space="preserve">2026. </w:t>
      </w:r>
      <w:proofErr w:type="gramStart"/>
      <w:r>
        <w:t>doi:10.PM</w:t>
      </w:r>
      <w:proofErr w:type="gramEnd"/>
      <w:r>
        <w:t>/nephro-25yr.2026</w:t>
      </w:r>
    </w:p>
    <w:p w14:paraId="43882140" w14:textId="77D25531" w:rsidR="00D67AA2" w:rsidRDefault="00000000">
      <w:pPr>
        <w:spacing w:before="60" w:after="60"/>
      </w:pPr>
      <w:r>
        <w:rPr>
          <w:rFonts w:ascii="Arial" w:eastAsia="Arial" w:hAnsi="Arial" w:cs="Arial"/>
          <w:b/>
          <w:bCs/>
          <w:sz w:val="18"/>
          <w:szCs w:val="18"/>
        </w:rPr>
        <w:t xml:space="preserve">Author Affiliation: </w:t>
      </w:r>
      <w:r>
        <w:t>Pediatric Moonshot,</w:t>
      </w:r>
    </w:p>
    <w:p w14:paraId="58705EA7" w14:textId="2AEEC441" w:rsidR="00D67AA2" w:rsidRDefault="00000000">
      <w:pPr>
        <w:spacing w:before="60" w:after="60"/>
      </w:pPr>
      <w:r>
        <w:rPr>
          <w:rFonts w:ascii="Arial" w:eastAsia="Arial" w:hAnsi="Arial" w:cs="Arial"/>
          <w:b/>
          <w:bCs/>
          <w:sz w:val="18"/>
          <w:szCs w:val="18"/>
        </w:rPr>
        <w:t xml:space="preserve">Corresponding </w:t>
      </w:r>
      <w:proofErr w:type="gramStart"/>
      <w:r>
        <w:rPr>
          <w:rFonts w:ascii="Arial" w:eastAsia="Arial" w:hAnsi="Arial" w:cs="Arial"/>
          <w:b/>
          <w:bCs/>
          <w:sz w:val="18"/>
          <w:szCs w:val="18"/>
        </w:rPr>
        <w:t>Author:</w:t>
      </w:r>
      <w:r>
        <w:t>,</w:t>
      </w:r>
      <w:proofErr w:type="gramEnd"/>
      <w:r>
        <w:t xml:space="preserve"> Pediatric Moonshot. </w:t>
      </w:r>
      <w:r w:rsidR="000000E7">
        <w:t>info</w:t>
      </w:r>
      <w:r>
        <w:t>@pediatricmoonshot.org</w:t>
      </w:r>
    </w:p>
    <w:p w14:paraId="69EC14AB" w14:textId="77777777" w:rsidR="00D67AA2" w:rsidRDefault="00000000">
      <w:pPr>
        <w:spacing w:before="60" w:after="60"/>
      </w:pPr>
      <w:r>
        <w:rPr>
          <w:rFonts w:ascii="Arial" w:eastAsia="Arial" w:hAnsi="Arial" w:cs="Arial"/>
          <w:b/>
          <w:bCs/>
          <w:sz w:val="18"/>
          <w:szCs w:val="18"/>
        </w:rPr>
        <w:t xml:space="preserve">Conflict of Interest Disclosures: </w:t>
      </w:r>
      <w:r>
        <w:t>None reported.</w:t>
      </w:r>
    </w:p>
    <w:p w14:paraId="20E1C275" w14:textId="77777777" w:rsidR="00D67AA2" w:rsidRDefault="00000000">
      <w:pPr>
        <w:spacing w:before="60" w:after="60"/>
      </w:pPr>
      <w:r>
        <w:rPr>
          <w:rFonts w:ascii="Arial" w:eastAsia="Arial" w:hAnsi="Arial" w:cs="Arial"/>
          <w:b/>
          <w:bCs/>
          <w:sz w:val="18"/>
          <w:szCs w:val="18"/>
        </w:rPr>
        <w:t xml:space="preserve">Methodology: </w:t>
      </w:r>
      <w:r>
        <w:t>Citation-year analysis of all 176 Pediatric Nephrology Atlas entries (March 2026 version). Earliest cited publication year per condition used as proxy for date of recognition as a distinct clinical entity. Classification into well-established, molecularly redefined, and entirely new categories reflects expert judgment on whether the condition existed as a meaningfully distinct entity in year 2000.</w:t>
      </w:r>
    </w:p>
    <w:p w14:paraId="0FEDD048" w14:textId="77777777" w:rsidR="00D67AA2" w:rsidRDefault="00D67AA2">
      <w:pPr>
        <w:spacing w:before="60" w:after="60"/>
      </w:pPr>
    </w:p>
    <w:p w14:paraId="315C2277" w14:textId="77777777" w:rsidR="00D67AA2" w:rsidRDefault="00000000">
      <w:pPr>
        <w:pStyle w:val="Heading2"/>
        <w:spacing w:before="160"/>
      </w:pPr>
      <w:r>
        <w:t>SOURCES</w:t>
      </w:r>
    </w:p>
    <w:p w14:paraId="36A2ED92" w14:textId="77777777" w:rsidR="00D67AA2" w:rsidRDefault="00000000">
      <w:pPr>
        <w:spacing w:before="60" w:after="80"/>
        <w:jc w:val="both"/>
      </w:pPr>
      <w:r>
        <w:t>Pediatric Nephrology Atlas 2026 · KDIGO Guidelines · NAPRTCS · ESPN · ERA-EDTA · Published clinical and genomics literature</w:t>
      </w:r>
    </w:p>
    <w:sectPr w:rsidR="00D67AA2">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884E2" w14:textId="77777777" w:rsidR="004202C2" w:rsidRDefault="004202C2">
      <w:r>
        <w:separator/>
      </w:r>
    </w:p>
  </w:endnote>
  <w:endnote w:type="continuationSeparator" w:id="0">
    <w:p w14:paraId="27EA3AB6" w14:textId="77777777" w:rsidR="004202C2" w:rsidRDefault="00420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29EA" w14:textId="77777777" w:rsidR="00D67AA2" w:rsidRDefault="00000000">
    <w:pPr>
      <w:pBdr>
        <w:top w:val="single" w:sz="4" w:space="1" w:color="CCCCCC"/>
      </w:pBdr>
      <w:spacing w:before="80"/>
      <w:jc w:val="center"/>
    </w:pPr>
    <w:r>
      <w:rPr>
        <w:rFonts w:ascii="Arial" w:eastAsia="Arial" w:hAnsi="Arial" w:cs="Arial"/>
        <w:color w:val="888888"/>
        <w:sz w:val="16"/>
        <w:szCs w:val="16"/>
      </w:rPr>
      <w:t>© 2026 Pediatric Moonshot. Open access under CC-BY-NC-ND.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04D83" w14:textId="77777777" w:rsidR="004202C2" w:rsidRDefault="004202C2">
      <w:r>
        <w:separator/>
      </w:r>
    </w:p>
  </w:footnote>
  <w:footnote w:type="continuationSeparator" w:id="0">
    <w:p w14:paraId="2B6F85BB" w14:textId="77777777" w:rsidR="004202C2" w:rsidRDefault="00420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7FF8" w14:textId="77777777" w:rsidR="00D67AA2" w:rsidRDefault="00000000">
    <w:pPr>
      <w:pBdr>
        <w:bottom w:val="single" w:sz="4" w:space="1" w:color="2E4E7E"/>
      </w:pBdr>
      <w:tabs>
        <w:tab w:val="right" w:pos="9360"/>
      </w:tabs>
      <w:spacing w:after="100"/>
    </w:pPr>
    <w:r>
      <w:rPr>
        <w:rFonts w:ascii="Arial" w:eastAsia="Arial" w:hAnsi="Arial" w:cs="Arial"/>
        <w:color w:val="2E4E7E"/>
        <w:sz w:val="16"/>
        <w:szCs w:val="16"/>
      </w:rPr>
      <w:t>Pediatric Moonshot | Pediatric Nephrology Atlas 2026</w:t>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A77DDA">
      <w:rPr>
        <w:rFonts w:ascii="Arial" w:eastAsia="Arial" w:hAnsi="Arial" w:cs="Arial"/>
        <w:noProof/>
        <w:color w:val="888888"/>
        <w:sz w:val="16"/>
        <w:szCs w:val="16"/>
      </w:rPr>
      <w:t>1</w:t>
    </w:r>
    <w:r>
      <w:rPr>
        <w:rFonts w:ascii="Arial" w:eastAsia="Arial" w:hAnsi="Arial" w:cs="Arial"/>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914AD"/>
    <w:multiLevelType w:val="hybridMultilevel"/>
    <w:tmpl w:val="DA626314"/>
    <w:lvl w:ilvl="0" w:tplc="968C012E">
      <w:start w:val="1"/>
      <w:numFmt w:val="bullet"/>
      <w:lvlText w:val="•"/>
      <w:lvlJc w:val="left"/>
      <w:pPr>
        <w:ind w:left="720" w:hanging="360"/>
      </w:pPr>
    </w:lvl>
    <w:lvl w:ilvl="1" w:tplc="9F027DF0">
      <w:numFmt w:val="decimal"/>
      <w:lvlText w:val=""/>
      <w:lvlJc w:val="left"/>
    </w:lvl>
    <w:lvl w:ilvl="2" w:tplc="BF1C060A">
      <w:numFmt w:val="decimal"/>
      <w:lvlText w:val=""/>
      <w:lvlJc w:val="left"/>
    </w:lvl>
    <w:lvl w:ilvl="3" w:tplc="EAA8ECF0">
      <w:numFmt w:val="decimal"/>
      <w:lvlText w:val=""/>
      <w:lvlJc w:val="left"/>
    </w:lvl>
    <w:lvl w:ilvl="4" w:tplc="456CA878">
      <w:numFmt w:val="decimal"/>
      <w:lvlText w:val=""/>
      <w:lvlJc w:val="left"/>
    </w:lvl>
    <w:lvl w:ilvl="5" w:tplc="8BFA694A">
      <w:numFmt w:val="decimal"/>
      <w:lvlText w:val=""/>
      <w:lvlJc w:val="left"/>
    </w:lvl>
    <w:lvl w:ilvl="6" w:tplc="9290091A">
      <w:numFmt w:val="decimal"/>
      <w:lvlText w:val=""/>
      <w:lvlJc w:val="left"/>
    </w:lvl>
    <w:lvl w:ilvl="7" w:tplc="6C38FBDE">
      <w:numFmt w:val="decimal"/>
      <w:lvlText w:val=""/>
      <w:lvlJc w:val="left"/>
    </w:lvl>
    <w:lvl w:ilvl="8" w:tplc="F7260ACA">
      <w:numFmt w:val="decimal"/>
      <w:lvlText w:val=""/>
      <w:lvlJc w:val="left"/>
    </w:lvl>
  </w:abstractNum>
  <w:abstractNum w:abstractNumId="1" w15:restartNumberingAfterBreak="0">
    <w:nsid w:val="5AFA7114"/>
    <w:multiLevelType w:val="hybridMultilevel"/>
    <w:tmpl w:val="9500B402"/>
    <w:lvl w:ilvl="0" w:tplc="1F16F020">
      <w:start w:val="1"/>
      <w:numFmt w:val="bullet"/>
      <w:lvlText w:val="●"/>
      <w:lvlJc w:val="left"/>
      <w:pPr>
        <w:ind w:left="720" w:hanging="360"/>
      </w:pPr>
    </w:lvl>
    <w:lvl w:ilvl="1" w:tplc="88386CB0">
      <w:start w:val="1"/>
      <w:numFmt w:val="bullet"/>
      <w:lvlText w:val="○"/>
      <w:lvlJc w:val="left"/>
      <w:pPr>
        <w:ind w:left="1440" w:hanging="360"/>
      </w:pPr>
    </w:lvl>
    <w:lvl w:ilvl="2" w:tplc="1394640A">
      <w:start w:val="1"/>
      <w:numFmt w:val="bullet"/>
      <w:lvlText w:val="■"/>
      <w:lvlJc w:val="left"/>
      <w:pPr>
        <w:ind w:left="2160" w:hanging="360"/>
      </w:pPr>
    </w:lvl>
    <w:lvl w:ilvl="3" w:tplc="6D387DB4">
      <w:start w:val="1"/>
      <w:numFmt w:val="bullet"/>
      <w:lvlText w:val="●"/>
      <w:lvlJc w:val="left"/>
      <w:pPr>
        <w:ind w:left="2880" w:hanging="360"/>
      </w:pPr>
    </w:lvl>
    <w:lvl w:ilvl="4" w:tplc="BE4E6D10">
      <w:start w:val="1"/>
      <w:numFmt w:val="bullet"/>
      <w:lvlText w:val="○"/>
      <w:lvlJc w:val="left"/>
      <w:pPr>
        <w:ind w:left="3600" w:hanging="360"/>
      </w:pPr>
    </w:lvl>
    <w:lvl w:ilvl="5" w:tplc="83B2DDC6">
      <w:start w:val="1"/>
      <w:numFmt w:val="bullet"/>
      <w:lvlText w:val="■"/>
      <w:lvlJc w:val="left"/>
      <w:pPr>
        <w:ind w:left="4320" w:hanging="360"/>
      </w:pPr>
    </w:lvl>
    <w:lvl w:ilvl="6" w:tplc="8EDC0926">
      <w:start w:val="1"/>
      <w:numFmt w:val="bullet"/>
      <w:lvlText w:val="●"/>
      <w:lvlJc w:val="left"/>
      <w:pPr>
        <w:ind w:left="5040" w:hanging="360"/>
      </w:pPr>
    </w:lvl>
    <w:lvl w:ilvl="7" w:tplc="731EC318">
      <w:start w:val="1"/>
      <w:numFmt w:val="bullet"/>
      <w:lvlText w:val="●"/>
      <w:lvlJc w:val="left"/>
      <w:pPr>
        <w:ind w:left="5760" w:hanging="360"/>
      </w:pPr>
    </w:lvl>
    <w:lvl w:ilvl="8" w:tplc="21FE6AAA">
      <w:start w:val="1"/>
      <w:numFmt w:val="bullet"/>
      <w:lvlText w:val="●"/>
      <w:lvlJc w:val="left"/>
      <w:pPr>
        <w:ind w:left="6480" w:hanging="360"/>
      </w:pPr>
    </w:lvl>
  </w:abstractNum>
  <w:num w:numId="1" w16cid:durableId="675230628">
    <w:abstractNumId w:val="1"/>
    <w:lvlOverride w:ilvl="0">
      <w:startOverride w:val="1"/>
    </w:lvlOverride>
  </w:num>
  <w:num w:numId="2" w16cid:durableId="758062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AA2"/>
    <w:rsid w:val="000000E7"/>
    <w:rsid w:val="0030112E"/>
    <w:rsid w:val="004202C2"/>
    <w:rsid w:val="004625F5"/>
    <w:rsid w:val="00A77DDA"/>
    <w:rsid w:val="00C878F8"/>
    <w:rsid w:val="00D37E24"/>
    <w:rsid w:val="00D6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A879CE"/>
  <w15:docId w15:val="{E984C5F6-262A-3E4E-8E8B-81EE2610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E7E"/>
      </w:pBdr>
      <w:spacing w:before="280" w:after="100"/>
      <w:outlineLvl w:val="0"/>
    </w:pPr>
    <w:rPr>
      <w:rFonts w:ascii="Arial" w:eastAsia="Arial" w:hAnsi="Arial" w:cs="Arial"/>
      <w:b/>
      <w:bCs/>
      <w:color w:val="2E4E7E"/>
      <w:sz w:val="26"/>
      <w:szCs w:val="26"/>
    </w:rPr>
  </w:style>
  <w:style w:type="paragraph" w:styleId="Heading2">
    <w:name w:val="heading 2"/>
    <w:uiPriority w:val="9"/>
    <w:unhideWhenUsed/>
    <w:qFormat/>
    <w:pPr>
      <w:spacing w:before="180" w:after="60"/>
      <w:outlineLvl w:val="1"/>
    </w:pPr>
    <w:rPr>
      <w:rFonts w:ascii="Arial" w:eastAsia="Arial" w:hAnsi="Arial" w:cs="Arial"/>
      <w:b/>
      <w:bCs/>
      <w:color w:val="2E4E7E"/>
      <w:sz w:val="22"/>
      <w:szCs w:val="2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2358</Words>
  <Characters>13446</Characters>
  <Application>Microsoft Office Word</Application>
  <DocSecurity>0</DocSecurity>
  <Lines>112</Lines>
  <Paragraphs>31</Paragraphs>
  <ScaleCrop>false</ScaleCrop>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chou</cp:lastModifiedBy>
  <cp:revision>6</cp:revision>
  <dcterms:created xsi:type="dcterms:W3CDTF">2026-06-03T22:16:00Z</dcterms:created>
  <dcterms:modified xsi:type="dcterms:W3CDTF">2026-06-03T22:22:00Z</dcterms:modified>
</cp:coreProperties>
</file>