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25AEC" w14:textId="77777777" w:rsidR="002B751B" w:rsidRDefault="00000000">
      <w:pPr>
        <w:spacing w:after="60"/>
      </w:pPr>
      <w:r>
        <w:rPr>
          <w:rFonts w:ascii="Arial" w:eastAsia="Arial" w:hAnsi="Arial" w:cs="Arial"/>
          <w:b/>
          <w:bCs/>
          <w:color w:val="2E4E7E"/>
          <w:sz w:val="18"/>
          <w:szCs w:val="18"/>
        </w:rPr>
        <w:t>Original Investigation | Pediatric Neurology</w:t>
      </w:r>
    </w:p>
    <w:p w14:paraId="3186D0B3" w14:textId="77777777" w:rsidR="002B751B" w:rsidRDefault="002B751B">
      <w:pPr>
        <w:pBdr>
          <w:bottom w:val="single" w:sz="6" w:space="1" w:color="2E4E7E"/>
        </w:pBdr>
        <w:spacing w:before="100" w:after="100"/>
      </w:pPr>
    </w:p>
    <w:p w14:paraId="1C012903" w14:textId="77777777" w:rsidR="002B751B" w:rsidRDefault="00000000">
      <w:pPr>
        <w:spacing w:before="80" w:after="60"/>
      </w:pPr>
      <w:r>
        <w:rPr>
          <w:rFonts w:ascii="Arial" w:eastAsia="Arial" w:hAnsi="Arial" w:cs="Arial"/>
          <w:b/>
          <w:bCs/>
          <w:sz w:val="34"/>
          <w:szCs w:val="34"/>
        </w:rPr>
        <w:t>How Much More We Know About Pediatric Neurology</w:t>
      </w:r>
    </w:p>
    <w:p w14:paraId="738F2497" w14:textId="77777777" w:rsidR="002B751B" w:rsidRDefault="00000000">
      <w:pPr>
        <w:spacing w:before="40" w:after="60"/>
      </w:pPr>
      <w:r>
        <w:rPr>
          <w:rFonts w:ascii="Arial" w:eastAsia="Arial" w:hAnsi="Arial" w:cs="Arial"/>
          <w:i/>
          <w:iCs/>
          <w:color w:val="555555"/>
          <w:sz w:val="20"/>
          <w:szCs w:val="20"/>
        </w:rPr>
        <w:t>A temporal analysis of the Pediatric Neurology Atlas: what a year-2000 version would have contained, and what 25 years of molecular neuroscience has added</w:t>
      </w:r>
    </w:p>
    <w:p w14:paraId="557BA027" w14:textId="77777777" w:rsidR="002B751B" w:rsidRDefault="00000000">
      <w:pPr>
        <w:spacing w:before="60" w:after="60"/>
      </w:pPr>
      <w:r>
        <w:rPr>
          <w:rFonts w:ascii="Arial" w:eastAsia="Arial" w:hAnsi="Arial" w:cs="Arial"/>
          <w:color w:val="555555"/>
          <w:sz w:val="18"/>
          <w:szCs w:val="18"/>
        </w:rPr>
        <w:t>Drawn from the Pediatric Neurology Atlas (2026) | 232 Conditions · 15 Categories</w:t>
      </w:r>
    </w:p>
    <w:p w14:paraId="02BBD635" w14:textId="7A85D7F5" w:rsidR="002B751B" w:rsidRDefault="00000000">
      <w:pPr>
        <w:spacing w:before="60" w:after="200"/>
      </w:pPr>
      <w:r>
        <w:rPr>
          <w:rFonts w:ascii="Arial" w:eastAsia="Arial" w:hAnsi="Arial" w:cs="Arial"/>
          <w:i/>
          <w:iCs/>
          <w:sz w:val="20"/>
          <w:szCs w:val="20"/>
        </w:rPr>
        <w:t>Pediatric Moonshot</w:t>
      </w:r>
    </w:p>
    <w:p w14:paraId="7B156127" w14:textId="77777777" w:rsidR="002B751B" w:rsidRDefault="00000000">
      <w:pPr>
        <w:spacing w:before="120" w:after="60"/>
      </w:pPr>
      <w:r>
        <w:rPr>
          <w:rFonts w:ascii="Arial" w:eastAsia="Arial" w:hAnsi="Arial" w:cs="Arial"/>
          <w:b/>
          <w:bCs/>
        </w:rPr>
        <w:t>Abstract</w:t>
      </w:r>
    </w:p>
    <w:p w14:paraId="7E3D1452" w14:textId="77777777" w:rsidR="002B751B" w:rsidRDefault="002B751B">
      <w:pPr>
        <w:pBdr>
          <w:bottom w:val="single" w:sz="6" w:space="1" w:color="2E4E7E"/>
        </w:pBdr>
        <w:spacing w:before="100" w:after="100"/>
      </w:pPr>
    </w:p>
    <w:p w14:paraId="08418800" w14:textId="77777777" w:rsidR="002B751B" w:rsidRDefault="00000000">
      <w:pPr>
        <w:spacing w:before="60" w:after="20"/>
      </w:pPr>
      <w:r>
        <w:rPr>
          <w:rFonts w:ascii="Arial" w:eastAsia="Arial" w:hAnsi="Arial" w:cs="Arial"/>
          <w:b/>
          <w:bCs/>
          <w:color w:val="2E4E7E"/>
          <w:sz w:val="18"/>
          <w:szCs w:val="18"/>
        </w:rPr>
        <w:t>IMPORTANCE</w:t>
      </w:r>
    </w:p>
    <w:p w14:paraId="550B255E" w14:textId="77777777" w:rsidR="002B751B" w:rsidRDefault="00000000">
      <w:pPr>
        <w:spacing w:before="20" w:after="60"/>
        <w:jc w:val="both"/>
      </w:pPr>
      <w:r>
        <w:t>Pediatric neurology has undergone the most dramatic knowledge expansion of any pediatric subspecialty since 2000. Two revolutions — whole-exome sequencing resolving overlapping clinical syndromes into distinct single-gene disorders, and the 2007 discovery of autoimmune encephalitis — drove a +72% growth in recognized conditions. Understanding where this growth occurred is essential to building the federated data infrastructure required for the resulting ultra-rare entities.</w:t>
      </w:r>
    </w:p>
    <w:p w14:paraId="27A557EC" w14:textId="77777777" w:rsidR="002B751B" w:rsidRDefault="00000000">
      <w:pPr>
        <w:spacing w:before="60" w:after="20"/>
      </w:pPr>
      <w:r>
        <w:rPr>
          <w:rFonts w:ascii="Arial" w:eastAsia="Arial" w:hAnsi="Arial" w:cs="Arial"/>
          <w:b/>
          <w:bCs/>
          <w:color w:val="2E4E7E"/>
          <w:sz w:val="18"/>
          <w:szCs w:val="18"/>
        </w:rPr>
        <w:t>OBJECTIVE</w:t>
      </w:r>
    </w:p>
    <w:p w14:paraId="0D2ACB3C" w14:textId="77777777" w:rsidR="002B751B" w:rsidRDefault="00000000">
      <w:pPr>
        <w:spacing w:before="20" w:after="60"/>
        <w:jc w:val="both"/>
      </w:pPr>
      <w:r>
        <w:t>To perform a temporal analysis of the Pediatric Neurology Atlas (2026), estimating which conditions were recognized before 2000, which were molecularly redefined post-2000, and which represent entirely new diagnostic entities, and to characterize the implications for federated pediatric neurology data infrastructure.</w:t>
      </w:r>
    </w:p>
    <w:p w14:paraId="3DC36FC0" w14:textId="77777777" w:rsidR="002B751B" w:rsidRDefault="00000000">
      <w:pPr>
        <w:spacing w:before="60" w:after="20"/>
      </w:pPr>
      <w:r>
        <w:rPr>
          <w:rFonts w:ascii="Arial" w:eastAsia="Arial" w:hAnsi="Arial" w:cs="Arial"/>
          <w:b/>
          <w:bCs/>
          <w:color w:val="2E4E7E"/>
          <w:sz w:val="18"/>
          <w:szCs w:val="18"/>
        </w:rPr>
        <w:t>DESIGN, SETTING, AND METHODS</w:t>
      </w:r>
    </w:p>
    <w:p w14:paraId="0DA2E003" w14:textId="77777777" w:rsidR="002B751B" w:rsidRDefault="00000000">
      <w:pPr>
        <w:spacing w:before="20" w:after="60"/>
        <w:jc w:val="both"/>
      </w:pPr>
      <w:r>
        <w:t>Temporal classification of all 232 Pediatric Neurology Atlas conditions (April 2026 version) using founding molecular or clinical discovery year. Pre-2000 conditions were recognized as distinct clinical or molecular entities before January 2000. Post-2000 conditions were defined by gene discovery, antibody identification, or formal disease classification after 2000. Counts are approximate; conditions at the 1999/2000 boundary were classified conservatively as pre-2000.</w:t>
      </w:r>
    </w:p>
    <w:p w14:paraId="3C787C9A" w14:textId="77777777" w:rsidR="002B751B" w:rsidRDefault="00000000">
      <w:pPr>
        <w:spacing w:before="60" w:after="20"/>
      </w:pPr>
      <w:r>
        <w:rPr>
          <w:rFonts w:ascii="Arial" w:eastAsia="Arial" w:hAnsi="Arial" w:cs="Arial"/>
          <w:b/>
          <w:bCs/>
          <w:color w:val="2E4E7E"/>
          <w:sz w:val="18"/>
          <w:szCs w:val="18"/>
        </w:rPr>
        <w:t>RESULTS</w:t>
      </w:r>
    </w:p>
    <w:p w14:paraId="7550EB8C" w14:textId="77777777" w:rsidR="002B751B" w:rsidRDefault="00000000">
      <w:pPr>
        <w:spacing w:before="20" w:after="60"/>
        <w:jc w:val="both"/>
      </w:pPr>
      <w:r>
        <w:t>A year-2000 Pediatric Neurology Atlas would have contained approximately 135 of today's 232 conditions — a +72% growth over 25 years, the largest proportional increase across all Pediatric Moonshot atlases. Approximately 70 conditions are entirely new since 2000; approximately 27 were clinically known but molecularly redefined. The 2010s contributed 67 conditions — nearly seven new recognized entities per year. Post-2000 entities include all autoimmune encephalitis antibody-defined disorders (anti-NMDAR 2007, MOGAD 2018), more than 50 single-gene neurodevelopmental disorders identified by whole-exome sequencing, and gene-specific developmental and epileptic encephalopathy subtypes. Many have fewer than 500 known cases globally.</w:t>
      </w:r>
    </w:p>
    <w:p w14:paraId="3C693E44" w14:textId="77777777" w:rsidR="002B751B" w:rsidRDefault="00000000">
      <w:pPr>
        <w:spacing w:before="60" w:after="20"/>
      </w:pPr>
      <w:r>
        <w:rPr>
          <w:rFonts w:ascii="Arial" w:eastAsia="Arial" w:hAnsi="Arial" w:cs="Arial"/>
          <w:b/>
          <w:bCs/>
          <w:color w:val="2E4E7E"/>
          <w:sz w:val="18"/>
          <w:szCs w:val="18"/>
        </w:rPr>
        <w:t>CONCLUSIONS AND RELEVANCE</w:t>
      </w:r>
    </w:p>
    <w:p w14:paraId="2C867977" w14:textId="13C7DA08" w:rsidR="002B751B" w:rsidRDefault="00000000">
      <w:pPr>
        <w:spacing w:before="20" w:after="60"/>
        <w:jc w:val="both"/>
      </w:pPr>
      <w:r>
        <w:t>Pediatric neurology's +72% knowledge expansion since 2000 is</w:t>
      </w:r>
      <w:r w:rsidR="00AB6657">
        <w:t xml:space="preserve"> one of</w:t>
      </w:r>
      <w:r>
        <w:t xml:space="preserve"> the largest of any</w:t>
      </w:r>
      <w:r w:rsidR="00AB6657">
        <w:t xml:space="preserve"> specialization</w:t>
      </w:r>
      <w:r>
        <w:t xml:space="preserve"> and shows no signs of slowing as whole-genome sequencing, proteomics, and autoimmune biomarker discovery continue. The molecular era did not just add new conditions — it </w:t>
      </w:r>
      <w:r>
        <w:lastRenderedPageBreak/>
        <w:t xml:space="preserve">created treatment pathways for conditions that had none: SMA, Rett syndrome, Dravet syndrome. But the resulting entities are predominantly ultra-rare, and the infrastructure to aggregate data across institutions has not been built. </w:t>
      </w:r>
      <w:r w:rsidR="00AB6657">
        <w:t>Privacy-preserving f</w:t>
      </w:r>
      <w:r>
        <w:t>ederated AI is not a future investment for pediatric neurology — it is already overdue.</w:t>
      </w:r>
    </w:p>
    <w:p w14:paraId="3DEE9E00" w14:textId="77777777" w:rsidR="002B751B" w:rsidRDefault="002B751B">
      <w:pPr>
        <w:spacing w:before="60" w:after="60"/>
      </w:pPr>
    </w:p>
    <w:p w14:paraId="063042B1" w14:textId="77777777" w:rsidR="002B751B" w:rsidRDefault="00000000">
      <w:pPr>
        <w:spacing w:before="40" w:after="80"/>
      </w:pPr>
      <w:r>
        <w:rPr>
          <w:rFonts w:ascii="Arial" w:eastAsia="Arial" w:hAnsi="Arial" w:cs="Arial"/>
          <w:i/>
          <w:iCs/>
          <w:color w:val="555555"/>
          <w:sz w:val="17"/>
          <w:szCs w:val="17"/>
        </w:rPr>
        <w:t xml:space="preserve">Pediatric Moonshot | Pediatric Neurology Atlas 2026. </w:t>
      </w:r>
      <w:proofErr w:type="gramStart"/>
      <w:r>
        <w:rPr>
          <w:rFonts w:ascii="Arial" w:eastAsia="Arial" w:hAnsi="Arial" w:cs="Arial"/>
          <w:i/>
          <w:iCs/>
          <w:color w:val="555555"/>
          <w:sz w:val="17"/>
          <w:szCs w:val="17"/>
        </w:rPr>
        <w:t>doi:10.PM</w:t>
      </w:r>
      <w:proofErr w:type="gramEnd"/>
      <w:r>
        <w:rPr>
          <w:rFonts w:ascii="Arial" w:eastAsia="Arial" w:hAnsi="Arial" w:cs="Arial"/>
          <w:i/>
          <w:iCs/>
          <w:color w:val="555555"/>
          <w:sz w:val="17"/>
          <w:szCs w:val="17"/>
        </w:rPr>
        <w:t>/neuro-25yr.2026</w:t>
      </w:r>
    </w:p>
    <w:p w14:paraId="047B27DE" w14:textId="77777777" w:rsidR="002B751B" w:rsidRDefault="002B751B">
      <w:pPr>
        <w:pBdr>
          <w:bottom w:val="single" w:sz="6" w:space="1" w:color="2E4E7E"/>
        </w:pBdr>
        <w:spacing w:before="100" w:after="100"/>
      </w:pPr>
    </w:p>
    <w:p w14:paraId="03B51F88" w14:textId="77777777" w:rsidR="002B751B" w:rsidRDefault="002B751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751B" w14:paraId="1D4DC542" w14:textId="77777777">
        <w:tblPrEx>
          <w:tblCellMar>
            <w:top w:w="0" w:type="dxa"/>
            <w:bottom w:w="0" w:type="dxa"/>
          </w:tblCellMar>
        </w:tblPrEx>
        <w:tc>
          <w:tcPr>
            <w:tcW w:w="0" w:type="auto"/>
            <w:tcBorders>
              <w:top w:val="single" w:sz="8" w:space="0" w:color="2E4E7E"/>
              <w:left w:val="single" w:sz="8" w:space="0" w:color="2E4E7E"/>
              <w:bottom w:val="single" w:sz="8" w:space="0" w:color="2E4E7E"/>
              <w:right w:val="single" w:sz="8" w:space="0" w:color="2E4E7E"/>
            </w:tcBorders>
            <w:shd w:val="clear" w:color="auto" w:fill="EAF0F8"/>
            <w:tcMar>
              <w:top w:w="100" w:type="dxa"/>
              <w:left w:w="180" w:type="dxa"/>
              <w:bottom w:w="100" w:type="dxa"/>
              <w:right w:w="180" w:type="dxa"/>
            </w:tcMar>
          </w:tcPr>
          <w:p w14:paraId="56875A81" w14:textId="77777777" w:rsidR="002B751B" w:rsidRDefault="00000000">
            <w:r>
              <w:rPr>
                <w:rFonts w:ascii="Arial" w:eastAsia="Arial" w:hAnsi="Arial" w:cs="Arial"/>
                <w:b/>
                <w:bCs/>
                <w:color w:val="2E4E7E"/>
                <w:sz w:val="20"/>
                <w:szCs w:val="20"/>
              </w:rPr>
              <w:t>Key Points</w:t>
            </w:r>
          </w:p>
          <w:p w14:paraId="21A7E640" w14:textId="77777777" w:rsidR="002B751B" w:rsidRDefault="002B751B">
            <w:pPr>
              <w:spacing w:before="60" w:after="60"/>
            </w:pPr>
          </w:p>
          <w:p w14:paraId="4138E17E" w14:textId="0C9220A6" w:rsidR="002B751B" w:rsidRDefault="00000000">
            <w:r w:rsidRPr="00AB6657">
              <w:rPr>
                <w:rFonts w:ascii="Arial" w:eastAsia="Arial" w:hAnsi="Arial" w:cs="Arial"/>
                <w:b/>
                <w:bCs/>
              </w:rPr>
              <w:t xml:space="preserve">Question </w:t>
            </w:r>
            <w:r>
              <w:t>How much has pediatric neurology knowledge grown since 2000, and what drove that growth?</w:t>
            </w:r>
          </w:p>
          <w:p w14:paraId="3E2F7A1D" w14:textId="77777777" w:rsidR="002B751B" w:rsidRDefault="002B751B">
            <w:pPr>
              <w:spacing w:before="60" w:after="60"/>
            </w:pPr>
          </w:p>
          <w:p w14:paraId="3E6C6E1F" w14:textId="5CFB48B0" w:rsidR="002B751B" w:rsidRDefault="00000000">
            <w:r w:rsidRPr="00AB6657">
              <w:rPr>
                <w:rFonts w:ascii="Arial" w:eastAsia="Arial" w:hAnsi="Arial" w:cs="Arial"/>
                <w:b/>
                <w:bCs/>
              </w:rPr>
              <w:t xml:space="preserve">Findings </w:t>
            </w:r>
            <w:r>
              <w:t>The Pediatric Neurology Atlas grew by +72% between 2000 and 2026 — from approximately 135 to 232 recognized conditions — the largest proportional growth of any Pediatric Moonshot atlas. Two revolutions drove this: whole-exome sequencing, which resolved overlapping clinical syndromes into dozens of distinct single-gene disorders, and the 2007 discovery of autoimmune encephalitis, which opened an entirely new disease category. The 2010s alone contributed 67 new conditions — nearly seven per year.</w:t>
            </w:r>
          </w:p>
          <w:p w14:paraId="60C96EF4" w14:textId="77777777" w:rsidR="002B751B" w:rsidRDefault="002B751B">
            <w:pPr>
              <w:spacing w:before="60" w:after="60"/>
            </w:pPr>
          </w:p>
          <w:p w14:paraId="2AB282B9" w14:textId="336E7A79" w:rsidR="002B751B" w:rsidRDefault="00000000">
            <w:proofErr w:type="gramStart"/>
            <w:r w:rsidRPr="00AB6657">
              <w:rPr>
                <w:rFonts w:ascii="Arial" w:eastAsia="Arial" w:hAnsi="Arial" w:cs="Arial"/>
                <w:b/>
                <w:bCs/>
              </w:rPr>
              <w:t xml:space="preserve">Meaning  </w:t>
            </w:r>
            <w:r>
              <w:t>The</w:t>
            </w:r>
            <w:proofErr w:type="gramEnd"/>
            <w:r>
              <w:t xml:space="preserve"> majority of post-2000 neurological entities are ultra-rare: NGLY1-CDDG has ~50 known patients globally; ADNP syndrome, CHD8, and DDX3X each have 50–500. A single children's hospital may diagnose one or two patients per decade. </w:t>
            </w:r>
            <w:r w:rsidR="00AB6657">
              <w:t xml:space="preserve">Privacy-preserving precision </w:t>
            </w:r>
            <w:r>
              <w:t>AI is already overdue.</w:t>
            </w:r>
            <w:r w:rsidR="00AB6657">
              <w:t xml:space="preserve"> Consider in another 25 years the number of diseases could be 400.</w:t>
            </w:r>
          </w:p>
        </w:tc>
      </w:tr>
    </w:tbl>
    <w:p w14:paraId="4B95247B" w14:textId="77777777" w:rsidR="002B751B" w:rsidRDefault="002B751B">
      <w:pPr>
        <w:spacing w:before="60" w:after="60"/>
      </w:pPr>
    </w:p>
    <w:p w14:paraId="33A562AB" w14:textId="77777777" w:rsidR="002B751B" w:rsidRDefault="00000000">
      <w:pPr>
        <w:pStyle w:val="Heading1"/>
        <w:spacing w:before="240"/>
      </w:pPr>
      <w:r>
        <w:rPr>
          <w:sz w:val="24"/>
          <w:szCs w:val="24"/>
        </w:rPr>
        <w:t>The Largest Knowledge Gap of Any Pediatric Atlas</w:t>
      </w:r>
    </w:p>
    <w:p w14:paraId="6AC707BF" w14:textId="77777777" w:rsidR="002B751B" w:rsidRDefault="002B751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2B751B" w14:paraId="10733F54" w14:textId="77777777">
        <w:tblPrEx>
          <w:tblCellMar>
            <w:top w:w="0" w:type="dxa"/>
            <w:bottom w:w="0" w:type="dxa"/>
          </w:tblCellMar>
        </w:tblPrEx>
        <w:tc>
          <w:tcPr>
            <w:tcW w:w="2340" w:type="dxa"/>
            <w:tcBorders>
              <w:top w:val="single" w:sz="4" w:space="0" w:color="2E4E7E"/>
              <w:left w:val="single" w:sz="4" w:space="0" w:color="2E4E7E"/>
              <w:bottom w:val="single" w:sz="4" w:space="0" w:color="2E4E7E"/>
              <w:right w:val="single" w:sz="4" w:space="0" w:color="2E4E7E"/>
            </w:tcBorders>
            <w:shd w:val="clear" w:color="auto" w:fill="F2F6FA"/>
            <w:tcMar>
              <w:top w:w="120" w:type="dxa"/>
              <w:left w:w="120" w:type="dxa"/>
              <w:bottom w:w="120" w:type="dxa"/>
              <w:right w:w="120" w:type="dxa"/>
            </w:tcMar>
          </w:tcPr>
          <w:p w14:paraId="70810B1E" w14:textId="77777777" w:rsidR="002B751B" w:rsidRDefault="00000000">
            <w:pPr>
              <w:jc w:val="center"/>
            </w:pPr>
            <w:r>
              <w:rPr>
                <w:rFonts w:ascii="Arial" w:eastAsia="Arial" w:hAnsi="Arial" w:cs="Arial"/>
                <w:b/>
                <w:bCs/>
                <w:color w:val="2E4E7E"/>
                <w:sz w:val="52"/>
                <w:szCs w:val="52"/>
              </w:rPr>
              <w:t>232</w:t>
            </w:r>
          </w:p>
          <w:p w14:paraId="21946AEC" w14:textId="77777777" w:rsidR="002B751B" w:rsidRDefault="00000000">
            <w:pPr>
              <w:jc w:val="center"/>
            </w:pPr>
            <w:r>
              <w:rPr>
                <w:rFonts w:ascii="Arial" w:eastAsia="Arial" w:hAnsi="Arial" w:cs="Arial"/>
                <w:color w:val="555555"/>
                <w:sz w:val="18"/>
                <w:szCs w:val="18"/>
              </w:rPr>
              <w:t>Conditions today (April 2026 Atlas)</w:t>
            </w:r>
          </w:p>
        </w:tc>
        <w:tc>
          <w:tcPr>
            <w:tcW w:w="2340" w:type="dxa"/>
            <w:tcBorders>
              <w:top w:val="single" w:sz="4" w:space="0" w:color="2E4E7E"/>
              <w:left w:val="single" w:sz="4" w:space="0" w:color="2E4E7E"/>
              <w:bottom w:val="single" w:sz="4" w:space="0" w:color="2E4E7E"/>
              <w:right w:val="single" w:sz="4" w:space="0" w:color="2E4E7E"/>
            </w:tcBorders>
            <w:shd w:val="clear" w:color="auto" w:fill="F2F6FA"/>
            <w:tcMar>
              <w:top w:w="120" w:type="dxa"/>
              <w:left w:w="120" w:type="dxa"/>
              <w:bottom w:w="120" w:type="dxa"/>
              <w:right w:w="120" w:type="dxa"/>
            </w:tcMar>
          </w:tcPr>
          <w:p w14:paraId="55D69E4C" w14:textId="77777777" w:rsidR="002B751B" w:rsidRDefault="00000000">
            <w:pPr>
              <w:jc w:val="center"/>
            </w:pPr>
            <w:r>
              <w:rPr>
                <w:rFonts w:ascii="Arial" w:eastAsia="Arial" w:hAnsi="Arial" w:cs="Arial"/>
                <w:b/>
                <w:bCs/>
                <w:color w:val="2E4E7E"/>
                <w:sz w:val="52"/>
                <w:szCs w:val="52"/>
              </w:rPr>
              <w:t>~135</w:t>
            </w:r>
          </w:p>
          <w:p w14:paraId="2583BD27" w14:textId="77777777" w:rsidR="002B751B" w:rsidRDefault="00000000">
            <w:pPr>
              <w:jc w:val="center"/>
            </w:pPr>
            <w:r>
              <w:rPr>
                <w:rFonts w:ascii="Arial" w:eastAsia="Arial" w:hAnsi="Arial" w:cs="Arial"/>
                <w:color w:val="555555"/>
                <w:sz w:val="18"/>
                <w:szCs w:val="18"/>
              </w:rPr>
              <w:t>Estimated in 2000 (year-2000 atlas)</w:t>
            </w:r>
          </w:p>
        </w:tc>
        <w:tc>
          <w:tcPr>
            <w:tcW w:w="2340" w:type="dxa"/>
            <w:tcBorders>
              <w:top w:val="single" w:sz="4" w:space="0" w:color="2E4E7E"/>
              <w:left w:val="single" w:sz="4" w:space="0" w:color="2E4E7E"/>
              <w:bottom w:val="single" w:sz="4" w:space="0" w:color="2E4E7E"/>
              <w:right w:val="single" w:sz="4" w:space="0" w:color="2E4E7E"/>
            </w:tcBorders>
            <w:shd w:val="clear" w:color="auto" w:fill="F2F6FA"/>
            <w:tcMar>
              <w:top w:w="120" w:type="dxa"/>
              <w:left w:w="120" w:type="dxa"/>
              <w:bottom w:w="120" w:type="dxa"/>
              <w:right w:w="120" w:type="dxa"/>
            </w:tcMar>
          </w:tcPr>
          <w:p w14:paraId="49FC3817" w14:textId="77777777" w:rsidR="002B751B" w:rsidRDefault="00000000">
            <w:pPr>
              <w:jc w:val="center"/>
            </w:pPr>
            <w:r>
              <w:rPr>
                <w:rFonts w:ascii="Arial" w:eastAsia="Arial" w:hAnsi="Arial" w:cs="Arial"/>
                <w:b/>
                <w:bCs/>
                <w:color w:val="2E4E7E"/>
                <w:sz w:val="52"/>
                <w:szCs w:val="52"/>
              </w:rPr>
              <w:t>~97</w:t>
            </w:r>
          </w:p>
          <w:p w14:paraId="6C00A9A9" w14:textId="77777777" w:rsidR="002B751B" w:rsidRDefault="00000000">
            <w:pPr>
              <w:jc w:val="center"/>
            </w:pPr>
            <w:r>
              <w:rPr>
                <w:rFonts w:ascii="Arial" w:eastAsia="Arial" w:hAnsi="Arial" w:cs="Arial"/>
                <w:color w:val="555555"/>
                <w:sz w:val="18"/>
                <w:szCs w:val="18"/>
              </w:rPr>
              <w:t>New since 2000 (conditions)</w:t>
            </w:r>
          </w:p>
        </w:tc>
        <w:tc>
          <w:tcPr>
            <w:tcW w:w="2340" w:type="dxa"/>
            <w:tcBorders>
              <w:top w:val="single" w:sz="4" w:space="0" w:color="2E4E7E"/>
              <w:left w:val="single" w:sz="4" w:space="0" w:color="2E4E7E"/>
              <w:bottom w:val="single" w:sz="4" w:space="0" w:color="2E4E7E"/>
              <w:right w:val="single" w:sz="4" w:space="0" w:color="2E4E7E"/>
            </w:tcBorders>
            <w:shd w:val="clear" w:color="auto" w:fill="F2F6FA"/>
            <w:tcMar>
              <w:top w:w="120" w:type="dxa"/>
              <w:left w:w="120" w:type="dxa"/>
              <w:bottom w:w="120" w:type="dxa"/>
              <w:right w:w="120" w:type="dxa"/>
            </w:tcMar>
          </w:tcPr>
          <w:p w14:paraId="7079BA64" w14:textId="77777777" w:rsidR="002B751B" w:rsidRDefault="00000000">
            <w:pPr>
              <w:jc w:val="center"/>
            </w:pPr>
            <w:r>
              <w:rPr>
                <w:rFonts w:ascii="Arial" w:eastAsia="Arial" w:hAnsi="Arial" w:cs="Arial"/>
                <w:b/>
                <w:bCs/>
                <w:color w:val="2E4E7E"/>
                <w:sz w:val="52"/>
                <w:szCs w:val="52"/>
              </w:rPr>
              <w:t>+72%</w:t>
            </w:r>
          </w:p>
          <w:p w14:paraId="08F0943B" w14:textId="77777777" w:rsidR="002B751B" w:rsidRDefault="00000000">
            <w:pPr>
              <w:jc w:val="center"/>
            </w:pPr>
            <w:r>
              <w:rPr>
                <w:rFonts w:ascii="Arial" w:eastAsia="Arial" w:hAnsi="Arial" w:cs="Arial"/>
                <w:color w:val="555555"/>
                <w:sz w:val="18"/>
                <w:szCs w:val="18"/>
              </w:rPr>
              <w:t>Knowledge growth in 25 years</w:t>
            </w:r>
          </w:p>
        </w:tc>
      </w:tr>
    </w:tbl>
    <w:p w14:paraId="30512D38" w14:textId="77777777" w:rsidR="002B751B" w:rsidRDefault="002B751B">
      <w:pPr>
        <w:spacing w:before="60" w:after="60"/>
      </w:pPr>
    </w:p>
    <w:p w14:paraId="35407D8F" w14:textId="3C13610E" w:rsidR="002B751B" w:rsidRDefault="00000000">
      <w:pPr>
        <w:spacing w:before="60" w:after="80"/>
        <w:jc w:val="both"/>
      </w:pPr>
      <w:r>
        <w:t xml:space="preserve">The Pediatric Neurology Atlas grew by +72% since 2000 — the largest proportional growth of any </w:t>
      </w:r>
      <w:r w:rsidR="00781F45">
        <w:t>specialization</w:t>
      </w:r>
      <w:r>
        <w:t xml:space="preserve">. Of 232 conditions cataloged today, approximately 97 did not exist as recognized clinical entities in 2000. Two forces drove this: the whole-exome sequencing revolution that mapped </w:t>
      </w:r>
      <w:r>
        <w:lastRenderedPageBreak/>
        <w:t>hundreds of single-gene neurodevelopmental disorders, and the discovery of an entirely new category of disease — autoimmune encephalitis — that was essentially invisible before 2007.</w:t>
      </w:r>
    </w:p>
    <w:p w14:paraId="061DA3FB" w14:textId="77777777" w:rsidR="002B751B" w:rsidRDefault="00000000">
      <w:pPr>
        <w:spacing w:before="60" w:after="80"/>
        <w:jc w:val="both"/>
      </w:pPr>
      <w:r>
        <w:t>The brain presents a unique classification problem that explains why neurology grew faster than any other specialty. Neurological diseases often present with overlapping phenotypes — seizures, developmental delay, regression, hypotonia — that are indistinguishable at the bedside. Before whole-exome sequencing, a child with treatment-resistant epilepsy and intellectual disability received a clinical label: Dravet syndrome, West syndrome, unclassified epileptic encephalopathy. Genomics didn't merely refine those categories — it revealed that what clinicians called one disease was often dozens of molecularly distinct disorders, each requiring a different drug, a different avoidance list, and a different prognosis. The 2010s were the most productive decade in pediatric neurology's history: 67 conditions in this Atlas have their defining molecular origin in that decade alone — a rate of nearly seven new recognized entities per year.</w:t>
      </w:r>
    </w:p>
    <w:p w14:paraId="3A287D2C" w14:textId="77777777" w:rsidR="002B751B" w:rsidRDefault="00000000">
      <w:pPr>
        <w:pStyle w:val="Heading1"/>
        <w:spacing w:before="240"/>
      </w:pPr>
      <w:r>
        <w:rPr>
          <w:sz w:val="24"/>
          <w:szCs w:val="24"/>
        </w:rPr>
        <w:t>Three Categories of Change</w:t>
      </w:r>
    </w:p>
    <w:p w14:paraId="3E56C22C" w14:textId="77777777" w:rsidR="002B751B" w:rsidRDefault="002B751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900"/>
        <w:gridCol w:w="6060"/>
      </w:tblGrid>
      <w:tr w:rsidR="002B751B" w14:paraId="7E73118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4E7E"/>
            <w:tcMar>
              <w:top w:w="60" w:type="dxa"/>
              <w:left w:w="100" w:type="dxa"/>
              <w:bottom w:w="60" w:type="dxa"/>
              <w:right w:w="100" w:type="dxa"/>
            </w:tcMar>
          </w:tcPr>
          <w:p w14:paraId="2163ECE0" w14:textId="77777777" w:rsidR="002B751B" w:rsidRDefault="00000000">
            <w:r>
              <w:rPr>
                <w:rFonts w:ascii="Arial" w:eastAsia="Arial" w:hAnsi="Arial" w:cs="Arial"/>
                <w:b/>
                <w:bCs/>
                <w:color w:val="FFFFFF"/>
                <w:sz w:val="17"/>
                <w:szCs w:val="17"/>
              </w:rPr>
              <w:t>Category</w:t>
            </w:r>
          </w:p>
        </w:tc>
        <w:tc>
          <w:tcPr>
            <w:tcW w:w="900" w:type="dxa"/>
            <w:tcBorders>
              <w:top w:val="single" w:sz="1" w:space="0" w:color="CCCCCC"/>
              <w:left w:val="single" w:sz="1" w:space="0" w:color="CCCCCC"/>
              <w:bottom w:val="single" w:sz="1" w:space="0" w:color="CCCCCC"/>
              <w:right w:val="single" w:sz="1" w:space="0" w:color="CCCCCC"/>
            </w:tcBorders>
            <w:shd w:val="clear" w:color="auto" w:fill="2E4E7E"/>
            <w:tcMar>
              <w:top w:w="60" w:type="dxa"/>
              <w:left w:w="100" w:type="dxa"/>
              <w:bottom w:w="60" w:type="dxa"/>
              <w:right w:w="100" w:type="dxa"/>
            </w:tcMar>
          </w:tcPr>
          <w:p w14:paraId="11830D84" w14:textId="77777777" w:rsidR="002B751B" w:rsidRDefault="00000000">
            <w:r>
              <w:rPr>
                <w:rFonts w:ascii="Arial" w:eastAsia="Arial" w:hAnsi="Arial" w:cs="Arial"/>
                <w:b/>
                <w:bCs/>
                <w:color w:val="FFFFFF"/>
                <w:sz w:val="17"/>
                <w:szCs w:val="17"/>
              </w:rPr>
              <w:t>Count</w:t>
            </w:r>
          </w:p>
        </w:tc>
        <w:tc>
          <w:tcPr>
            <w:tcW w:w="6060" w:type="dxa"/>
            <w:tcBorders>
              <w:top w:val="single" w:sz="1" w:space="0" w:color="CCCCCC"/>
              <w:left w:val="single" w:sz="1" w:space="0" w:color="CCCCCC"/>
              <w:bottom w:val="single" w:sz="1" w:space="0" w:color="CCCCCC"/>
              <w:right w:val="single" w:sz="1" w:space="0" w:color="CCCCCC"/>
            </w:tcBorders>
            <w:shd w:val="clear" w:color="auto" w:fill="2E4E7E"/>
            <w:tcMar>
              <w:top w:w="60" w:type="dxa"/>
              <w:left w:w="100" w:type="dxa"/>
              <w:bottom w:w="60" w:type="dxa"/>
              <w:right w:w="100" w:type="dxa"/>
            </w:tcMar>
          </w:tcPr>
          <w:p w14:paraId="6BAA4702" w14:textId="77777777" w:rsidR="002B751B" w:rsidRDefault="00000000">
            <w:r>
              <w:rPr>
                <w:rFonts w:ascii="Arial" w:eastAsia="Arial" w:hAnsi="Arial" w:cs="Arial"/>
                <w:b/>
                <w:bCs/>
                <w:color w:val="FFFFFF"/>
                <w:sz w:val="17"/>
                <w:szCs w:val="17"/>
              </w:rPr>
              <w:t>Description</w:t>
            </w:r>
          </w:p>
        </w:tc>
      </w:tr>
      <w:tr w:rsidR="002B751B" w14:paraId="3123221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1F758247" w14:textId="77777777" w:rsidR="002B751B" w:rsidRDefault="00000000">
            <w:r>
              <w:rPr>
                <w:sz w:val="17"/>
                <w:szCs w:val="17"/>
              </w:rPr>
              <w:t>Well-established pre-2000</w:t>
            </w:r>
          </w:p>
        </w:tc>
        <w:tc>
          <w:tcPr>
            <w:tcW w:w="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7A13A3D9" w14:textId="77777777" w:rsidR="002B751B" w:rsidRDefault="00000000">
            <w:r>
              <w:rPr>
                <w:sz w:val="17"/>
                <w:szCs w:val="17"/>
              </w:rPr>
              <w:t>~135</w:t>
            </w:r>
          </w:p>
        </w:tc>
        <w:tc>
          <w:tcPr>
            <w:tcW w:w="606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5E81B5AA" w14:textId="77777777" w:rsidR="002B751B" w:rsidRDefault="00000000">
            <w:r>
              <w:rPr>
                <w:sz w:val="17"/>
                <w:szCs w:val="17"/>
              </w:rPr>
              <w:t>Clinically or genetically recognized before 2000. Includes classical epilepsies (West syndrome 1841, Lennox-</w:t>
            </w:r>
            <w:proofErr w:type="spellStart"/>
            <w:r>
              <w:rPr>
                <w:sz w:val="17"/>
                <w:szCs w:val="17"/>
              </w:rPr>
              <w:t>Gastaut</w:t>
            </w:r>
            <w:proofErr w:type="spellEnd"/>
            <w:r>
              <w:rPr>
                <w:sz w:val="17"/>
                <w:szCs w:val="17"/>
              </w:rPr>
              <w:t xml:space="preserve"> 1950s), muscular dystrophies (DMD 1868, SMA 1891), neurodegenerative disorders (Friedreich ataxia 1863), and structural brain malformations. Many have had standard of care for decades.</w:t>
            </w:r>
          </w:p>
        </w:tc>
      </w:tr>
      <w:tr w:rsidR="002B751B" w14:paraId="3BF91D0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DF6BFA" w14:textId="77777777" w:rsidR="002B751B" w:rsidRDefault="00000000">
            <w:r>
              <w:rPr>
                <w:sz w:val="17"/>
                <w:szCs w:val="17"/>
              </w:rPr>
              <w:t>Molecularly redefined post-2000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3E2253" w14:textId="77777777" w:rsidR="002B751B" w:rsidRDefault="00000000">
            <w:r>
              <w:rPr>
                <w:sz w:val="17"/>
                <w:szCs w:val="17"/>
              </w:rPr>
              <w:t>~27</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B78F17" w14:textId="77777777" w:rsidR="002B751B" w:rsidRDefault="00000000">
            <w:r>
              <w:rPr>
                <w:sz w:val="17"/>
                <w:szCs w:val="17"/>
              </w:rPr>
              <w:t>Clinically known but gene or mechanism discovered post-2000: Alexander disease (GFAP 2001), Pitt-Hopkins syndrome (TCF4 2007), NMOSD defined distinct from MS (AQP4 antibodies 2004), CHARGE syndrome (CHD7 2004), Koolen-de Vries syndrome (KANSL1 2012).</w:t>
            </w:r>
          </w:p>
        </w:tc>
      </w:tr>
      <w:tr w:rsidR="002B751B" w14:paraId="3FFE644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5EDB6DCF" w14:textId="77777777" w:rsidR="002B751B" w:rsidRDefault="00000000">
            <w:r>
              <w:rPr>
                <w:sz w:val="17"/>
                <w:szCs w:val="17"/>
              </w:rPr>
              <w:t>Entirely new since 2000</w:t>
            </w:r>
          </w:p>
        </w:tc>
        <w:tc>
          <w:tcPr>
            <w:tcW w:w="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231076FE" w14:textId="77777777" w:rsidR="002B751B" w:rsidRDefault="00000000">
            <w:r>
              <w:rPr>
                <w:sz w:val="17"/>
                <w:szCs w:val="17"/>
              </w:rPr>
              <w:t>~70</w:t>
            </w:r>
          </w:p>
        </w:tc>
        <w:tc>
          <w:tcPr>
            <w:tcW w:w="606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49B1AB1D" w14:textId="77777777" w:rsidR="002B751B" w:rsidRDefault="00000000">
            <w:r>
              <w:rPr>
                <w:sz w:val="17"/>
                <w:szCs w:val="17"/>
              </w:rPr>
              <w:t>Did not exist as recognized entities: all autoimmune encephalitis antibody-defined disorders (anti-NMDAR 2007; LGI1/CASPR2 2010; MOGAD 2018); 50+ single-gene NDD disorders identified by WES (SYNGAP1 2009; KIF1A 2011; ADNP 2014; DDX3X 2015); gene-specific DEE subtypes (SCN8A 2012; DEPDC5 2013); AFM (2014); Congenital Zika Syndrome (2015); COVID-19 neurological (2020).</w:t>
            </w:r>
          </w:p>
        </w:tc>
      </w:tr>
    </w:tbl>
    <w:p w14:paraId="1D5900F6" w14:textId="77777777" w:rsidR="002B751B" w:rsidRDefault="002B751B">
      <w:pPr>
        <w:spacing w:before="60" w:after="60"/>
      </w:pPr>
    </w:p>
    <w:p w14:paraId="7A868DB1" w14:textId="77777777" w:rsidR="002B751B" w:rsidRDefault="00000000">
      <w:pPr>
        <w:pStyle w:val="Heading1"/>
        <w:spacing w:before="240"/>
      </w:pPr>
      <w:r>
        <w:rPr>
          <w:sz w:val="24"/>
          <w:szCs w:val="24"/>
        </w:rPr>
        <w:t>Two Revolutions, Not One</w:t>
      </w:r>
    </w:p>
    <w:p w14:paraId="16F6C593" w14:textId="77777777" w:rsidR="002B751B" w:rsidRDefault="00000000">
      <w:pPr>
        <w:pStyle w:val="Heading2"/>
        <w:spacing w:before="160"/>
      </w:pPr>
      <w:r>
        <w:t>Revolution 1: Whole-Exome Sequencing and the DEE/NDD Explosion</w:t>
      </w:r>
    </w:p>
    <w:p w14:paraId="14065F10" w14:textId="77777777" w:rsidR="002B751B" w:rsidRDefault="00000000">
      <w:pPr>
        <w:spacing w:before="60" w:after="80"/>
        <w:jc w:val="both"/>
      </w:pPr>
      <w:r>
        <w:t>Prior to 2012, a child with severe epilepsy and no identified cause received a clinical diagnosis and a syndromic label. After WES became clinically available, the same child could receive a precise molecular diagnosis — CDKL5 Deficiency Disorder (2004), SCN8A Epilepsy (2012), KCNT1-Related Epilepsy (2012), SLC6A1 Disorder (2015), GRIN2B Encephalopathy (2010). Each is now a distinct atlas entry with its own gene-specific drug avoidance list, precision therapy approach, and — in several cases — active clinical trials for antisense oligonucleotide or gene therapy. None existed as a clinical entity in 2000.</w:t>
      </w:r>
    </w:p>
    <w:p w14:paraId="5379A74D" w14:textId="77777777" w:rsidR="002B751B" w:rsidRDefault="00000000">
      <w:pPr>
        <w:spacing w:before="60" w:after="80"/>
        <w:jc w:val="both"/>
      </w:pPr>
      <w:r>
        <w:t xml:space="preserve">The WES revolution also generated an entirely new class of conditions: single-gene neurodevelopmental syndromes defined by de novo mutations. SYNGAP1 syndrome (2009), FOXG1 syndrome (2008), ADNP syndrome (2014), CHD8 syndrome (2014), DDX3X disorder (2015), BEXS </w:t>
      </w:r>
      <w:r>
        <w:lastRenderedPageBreak/>
        <w:t>syndrome/HNRNPH2 (2016) — each caused by mutations in a single gene, each presenting with intellectual disability, autism features, and variable epilepsy. More than 40 Atlas entries in the neurodevelopmental section have their defining mutation discovered after 2005. The clinical consequence is profound: a child diagnosed with 'autism spectrum disorder of unknown etiology' before 2010 may now receive a precise molecular diagnosis that enables gene-specific counseling, targeted clinical trial enrollment, and anticipatory guidance about co-occurring medical conditions specific to that syndrome.</w:t>
      </w:r>
    </w:p>
    <w:p w14:paraId="7D14218A" w14:textId="77777777" w:rsidR="002B751B" w:rsidRDefault="00000000">
      <w:pPr>
        <w:pStyle w:val="Heading2"/>
        <w:spacing w:before="160"/>
      </w:pPr>
      <w:r>
        <w:t>Revolution 2: The Discovery of Autoimmune Encephalitis</w:t>
      </w:r>
    </w:p>
    <w:p w14:paraId="0857B2E8" w14:textId="77777777" w:rsidR="002B751B" w:rsidRDefault="00000000">
      <w:pPr>
        <w:spacing w:before="60" w:after="80"/>
        <w:jc w:val="both"/>
      </w:pPr>
      <w:r>
        <w:t>In 2007, a paper in The Lancet described a new form of encephalitis caused by antibodies against the NMDA receptor. That single publication opened an entire field. By 2015, the Atlas contained eight distinct autoimmune encephalitis entities — anti-NMDAR (2007), anti-AMPAR (2009), anti-LGI1 (2010), anti-CASPR2 (2010), anti-GABABR (2010), anti-GABAAR (2014), anti-DPPX (2013), anti-IgLON5 (2014) — none of which would have appeared in a year-2000 Atlas. Each is associated with a distinct clinical syndrome, requires specific antibody testing not available before its discovery, and has specific immunotherapy implications. Before 2007, children with anti-NMDAR encephalitis — who present with acute psychosis, movement disorders, and autonomic instability — were frequently diagnosed with viral encephalitis of unknown etiology, new-onset psychiatric illness, or Dravet syndrome.</w:t>
      </w:r>
    </w:p>
    <w:p w14:paraId="277726DB" w14:textId="77777777" w:rsidR="002B751B" w:rsidRDefault="00000000">
      <w:pPr>
        <w:spacing w:before="60" w:after="80"/>
        <w:jc w:val="both"/>
      </w:pPr>
      <w:r>
        <w:t>MOGAD (Myelin Oligodendrocyte Glycoprotein Antibody Disease) was only formally defined as distinct from MS in 2018. Before that, children with MOG antibody-mediated ADEM, optic neuritis, and multiphasic demyelinating disease were treated as MS patients — receiving disease-modifying therapy appropriate for relapsing-remitting MS but not for MOGAD, which requires different long-term maintenance immunotherapy and carries a different prognosis. The distinction is not academic: MS therapies that reduce B-cell activity may worsen MOGAD by eliminating regulatory B cells. Getting the diagnosis wrong has direct therapeutic consequences.</w:t>
      </w:r>
    </w:p>
    <w:p w14:paraId="211A585B" w14:textId="77777777" w:rsidR="002B751B" w:rsidRDefault="00000000">
      <w:pPr>
        <w:pStyle w:val="Heading1"/>
        <w:spacing w:before="240"/>
      </w:pPr>
      <w:r>
        <w:rPr>
          <w:sz w:val="24"/>
          <w:szCs w:val="24"/>
        </w:rPr>
        <w:t>What the Molecular Era Added to Pre-2000 Conditions</w:t>
      </w:r>
    </w:p>
    <w:p w14:paraId="0ABC68C3" w14:textId="77777777" w:rsidR="002B751B" w:rsidRDefault="00000000">
      <w:pPr>
        <w:spacing w:before="60" w:after="80"/>
        <w:jc w:val="both"/>
      </w:pPr>
      <w:r>
        <w:t xml:space="preserve">The conditions that existed in 2000 have also been transformed. SMA — described in 1891, molecularly defined with SMN1 deletion in 1995 — received three approved disease-modifying therapies between 2016 and 2020: </w:t>
      </w:r>
      <w:proofErr w:type="spellStart"/>
      <w:r>
        <w:t>nusinersen</w:t>
      </w:r>
      <w:proofErr w:type="spellEnd"/>
      <w:r>
        <w:t xml:space="preserve"> (intrathecal ASO), </w:t>
      </w:r>
      <w:proofErr w:type="spellStart"/>
      <w:r>
        <w:t>onasemnogene</w:t>
      </w:r>
      <w:proofErr w:type="spellEnd"/>
      <w:r>
        <w:t xml:space="preserve"> </w:t>
      </w:r>
      <w:proofErr w:type="spellStart"/>
      <w:r>
        <w:t>abeparvovec</w:t>
      </w:r>
      <w:proofErr w:type="spellEnd"/>
      <w:r>
        <w:t xml:space="preserve"> (gene therapy), and </w:t>
      </w:r>
      <w:proofErr w:type="spellStart"/>
      <w:r>
        <w:t>risdiplam</w:t>
      </w:r>
      <w:proofErr w:type="spellEnd"/>
      <w:r>
        <w:t xml:space="preserve"> (oral SMN2 splicing modifier). Newborn screening for SMA, now in all 50 US states, has made pre-symptomatic treatment the standard of care — converting a disease that killed most affected infants into one where treated </w:t>
      </w:r>
      <w:proofErr w:type="gramStart"/>
      <w:r>
        <w:t>children</w:t>
      </w:r>
      <w:proofErr w:type="gramEnd"/>
      <w:r>
        <w:t xml:space="preserve"> walk. Rett syndrome received its first FDA-approved treatment (</w:t>
      </w:r>
      <w:proofErr w:type="spellStart"/>
      <w:r>
        <w:t>trofinetide</w:t>
      </w:r>
      <w:proofErr w:type="spellEnd"/>
      <w:r>
        <w:t xml:space="preserve">) in 2023 — 57 years after its description. Dravet syndrome, clinically recognized in 1978 and molecularly defined with SCN1A mutations in 2001, now has four FDA-approved or investigational precision therapies targeting the SCN1A pathway, including fenfluramine (FDA 2020) and </w:t>
      </w:r>
      <w:proofErr w:type="spellStart"/>
      <w:r>
        <w:t>soticlestat</w:t>
      </w:r>
      <w:proofErr w:type="spellEnd"/>
      <w:r>
        <w:t>.</w:t>
      </w:r>
    </w:p>
    <w:p w14:paraId="790BC22D" w14:textId="77777777" w:rsidR="002B751B" w:rsidRDefault="00000000">
      <w:pPr>
        <w:spacing w:before="60" w:after="80"/>
        <w:jc w:val="both"/>
      </w:pPr>
      <w:r>
        <w:t xml:space="preserve">This pattern is consistent across the Atlas: the discovery of a gene or mechanism is not the end of the diagnostic journey — it is the beginning of the therapeutic one. Each condition that was genetically undefined in 2000 was also therapeutically stranded. Naming the gene enables drug design. Naming the antibody enables the immunotherapy protocol. Without the molecular diagnosis, the child remains </w:t>
      </w:r>
      <w:r>
        <w:lastRenderedPageBreak/>
        <w:t>in the wrong treatment category — receiving medications that may be harmful (sodium channel blockers in SCN1A-Dravet), missing medications that would help (quinidine in KCNT1-related epilepsy), or receiving MS therapy when MOGAD is the correct diagnosis.</w:t>
      </w:r>
    </w:p>
    <w:p w14:paraId="5325212C" w14:textId="77777777" w:rsidR="002B751B" w:rsidRDefault="00000000">
      <w:pPr>
        <w:pStyle w:val="Heading1"/>
        <w:spacing w:before="240"/>
      </w:pPr>
      <w:r>
        <w:rPr>
          <w:sz w:val="24"/>
          <w:szCs w:val="24"/>
        </w:rPr>
        <w:t>The Scale Problem Is Most Acute in Neurology</w:t>
      </w:r>
    </w:p>
    <w:p w14:paraId="52767351" w14:textId="77777777" w:rsidR="002B751B" w:rsidRDefault="00000000">
      <w:pPr>
        <w:spacing w:before="60" w:after="80"/>
        <w:jc w:val="both"/>
      </w:pPr>
      <w:r>
        <w:t>The 97 new conditions are not uniformly distributed in size. Several — ASD, ADHD, pediatric migraine — affect millions of children. But the majority of the post-2000 entities are ultra-rare: NGLY1-CDDG has approximately 50 known patients globally. IRF2BPL/NEDAMSS has fewer than 50 cases. BEXS syndrome/HNRNPH2 has fewer than 300 known cases worldwide. Anti-DPPX encephalitis has a few hundred cases in the literature. The 2010s WES-discovered neurodevelopmental syndromes — ADNP, CHD8, DDX3X, GNB1, DNM1, TBC1D24 — each have between 50 and 500 known patients globally.</w:t>
      </w:r>
    </w:p>
    <w:p w14:paraId="2532DE91" w14:textId="77777777" w:rsidR="002B751B" w:rsidRDefault="00000000">
      <w:pPr>
        <w:spacing w:before="60" w:after="80"/>
        <w:jc w:val="both"/>
      </w:pPr>
      <w:r>
        <w:t>A single children's hospital may diagnose one or two patients with any of these conditions per decade. No neurologist can build reliable pattern recognition from that volume. No clinical trial can recruit from a single site. The evidence base does not exist — not because the conditions are unstudied, but because the infrastructure to aggregate data across institutions has not been built. The consequence is that children with ADNP syndrome, KIF1A disorder, or NGLY1-CDDG are diagnosed, entered into a local medical record, and effectively lost to the scientific community — their outcomes invisible to the researchers and clinicians who might learn from them.</w:t>
      </w:r>
    </w:p>
    <w:p w14:paraId="2B9128FC" w14:textId="77777777" w:rsidR="002B751B" w:rsidRDefault="00000000">
      <w:pPr>
        <w:pStyle w:val="Heading1"/>
        <w:spacing w:before="240"/>
      </w:pPr>
      <w:r>
        <w:rPr>
          <w:sz w:val="24"/>
          <w:szCs w:val="24"/>
        </w:rPr>
        <w:t>Implications for Pediatric Moonshot</w:t>
      </w:r>
    </w:p>
    <w:p w14:paraId="7ADE09E2" w14:textId="27B3538E" w:rsidR="002B751B" w:rsidRDefault="00000000">
      <w:pPr>
        <w:pStyle w:val="ListParagraph"/>
        <w:numPr>
          <w:ilvl w:val="0"/>
          <w:numId w:val="2"/>
        </w:numPr>
        <w:spacing w:before="40" w:after="60"/>
      </w:pPr>
      <w:r>
        <w:t xml:space="preserve">The +72% knowledge growth is the largest of any </w:t>
      </w:r>
      <w:r w:rsidR="00781F45">
        <w:t>specialization</w:t>
      </w:r>
      <w:r>
        <w:t xml:space="preserve">, and the 2010s rate of seven new entities per year shows no signs of slowing. Whole-genome sequencing, proteomics, and autoimmune biomarker discovery will continue to generate new atlas entries. </w:t>
      </w:r>
      <w:r w:rsidR="00781F45">
        <w:t>A privacy-</w:t>
      </w:r>
      <w:proofErr w:type="gramStart"/>
      <w:r w:rsidR="00781F45">
        <w:t xml:space="preserve">preserving, </w:t>
      </w:r>
      <w:r>
        <w:t xml:space="preserve"> federated</w:t>
      </w:r>
      <w:proofErr w:type="gramEnd"/>
      <w:r>
        <w:t xml:space="preserve"> infrastructure must be built to accommodate a neurology atlas that will plausibly contain 350+ conditions by 2050 — each requiring its own disease-specific data collection, natural history registry, and clinical trial infrastructure.</w:t>
      </w:r>
    </w:p>
    <w:p w14:paraId="332E281A" w14:textId="77777777" w:rsidR="002B751B" w:rsidRDefault="00000000">
      <w:pPr>
        <w:pStyle w:val="ListParagraph"/>
        <w:numPr>
          <w:ilvl w:val="0"/>
          <w:numId w:val="2"/>
        </w:numPr>
        <w:spacing w:before="40" w:after="60"/>
      </w:pPr>
      <w:r>
        <w:t>The gene-specific DEE and NDD entities (SCN8A, CDKL5, SYNGAP1, FOXG1, ADNP, DDX3X, KIF1A, and 40+ others) represent the highest-density precision medicine opportunity in pediatric neurology. Each entity has a specific drug avoidance list, a potential ASO or gene therapy target, and an active patient advocacy organization. AI agents that integrate genetic diagnosis with EEG pattern recognition, developmental trajectory, and treatment response data — federated across children's hospital neurology programs — can answer the natural history questions that no single center can address.</w:t>
      </w:r>
    </w:p>
    <w:p w14:paraId="0CC530CF" w14:textId="77777777" w:rsidR="002B751B" w:rsidRDefault="00000000">
      <w:pPr>
        <w:pStyle w:val="ListParagraph"/>
        <w:numPr>
          <w:ilvl w:val="0"/>
          <w:numId w:val="2"/>
        </w:numPr>
        <w:spacing w:before="40" w:after="60"/>
      </w:pPr>
      <w:r>
        <w:t xml:space="preserve">The autoimmune encephalitis category (anti-NMDAR, anti-LGI1, anti-CASPR2, MOGAD, and 12+ others) has an average diagnostic delay of 3–6 months from symptom onset — during which children with treatable autoimmune conditions are frequently admitted to psychiatric facilities or treated for viral encephalitis. AI pattern recognition trained across federated institutional data can identify the clinical constellation of psychosis, movement disorder, and autonomic instability that characterizes anti-NMDAR encephalitis before CSF </w:t>
      </w:r>
      <w:r>
        <w:lastRenderedPageBreak/>
        <w:t>antibody results return — reducing diagnostic delay and enabling earlier immunotherapy initiation.</w:t>
      </w:r>
    </w:p>
    <w:p w14:paraId="03EE33FE" w14:textId="77777777" w:rsidR="002B751B" w:rsidRDefault="00000000">
      <w:pPr>
        <w:pStyle w:val="ListParagraph"/>
        <w:numPr>
          <w:ilvl w:val="0"/>
          <w:numId w:val="2"/>
        </w:numPr>
        <w:spacing w:before="40" w:after="60"/>
      </w:pPr>
      <w:r>
        <w:t xml:space="preserve">SMA's transformation — from fatal infant disease to a condition where treated newborns walk — is the proof of concept for what precision medicine can achieve in pediatric neurology when the molecular target is known and the therapy reaches patients early. The infrastructure challenge for the next generation of gene therapies (CDKL5, SYNGAP1, FOXG1) is patient identification: a child with one of these conditions in a rural hospital may wait years for diagnosis. </w:t>
      </w:r>
      <w:proofErr w:type="spellStart"/>
      <w:r>
        <w:t>BevelCloud's</w:t>
      </w:r>
      <w:proofErr w:type="spellEnd"/>
      <w:r>
        <w:t xml:space="preserve"> federated diagnostic support — connecting community neurologists to subspecialty pattern recognition without transferring patient data — is the access infrastructure that newborn screening cannot provide for the long tail of ultra-rare NDDs.</w:t>
      </w:r>
    </w:p>
    <w:p w14:paraId="644D52FD" w14:textId="77777777" w:rsidR="002B751B" w:rsidRDefault="00000000">
      <w:pPr>
        <w:pStyle w:val="Heading1"/>
        <w:spacing w:before="240"/>
      </w:pPr>
      <w:r>
        <w:rPr>
          <w:sz w:val="24"/>
          <w:szCs w:val="24"/>
        </w:rPr>
        <w:t>Conclusions</w:t>
      </w:r>
    </w:p>
    <w:p w14:paraId="0575AB33" w14:textId="77777777" w:rsidR="002B751B" w:rsidRDefault="00000000">
      <w:pPr>
        <w:spacing w:before="60" w:after="80"/>
        <w:jc w:val="both"/>
      </w:pPr>
      <w:r>
        <w:t>Pediatric neurology grew by +72% between 2000 and 2026 — from approximately 135 to 232 recognized conditions — the largest knowledge expansion of any Pediatric Moonshot atlas. Two revolutions drove this growth: whole-exome sequencing, which resolved the phenotypically overlapping landscape of treatment-resistant epilepsy and neurodevelopmental disability into dozens of molecularly distinct disorders; and the discovery of autoimmune encephalitis, which created an entirely new disease category from conditions previously labeled as viral encephalitis or new-onset psychosis. The molecular era did not just add new conditions to the Atlas — it created treatment pathways for conditions that had none, and it revealed that the wrong diagnosis meant the wrong therapy.</w:t>
      </w:r>
    </w:p>
    <w:p w14:paraId="0E357D9A" w14:textId="77777777" w:rsidR="002B751B" w:rsidRDefault="00000000">
      <w:pPr>
        <w:spacing w:before="60" w:after="80"/>
        <w:jc w:val="both"/>
      </w:pPr>
      <w:r>
        <w:t>The knowledge now far outpaces the infrastructure to act on it. A child with ADNP syndrome, IRF2BPL disorder, or anti-DPPX encephalitis diagnosed at a community children's hospital has their outcome recorded in a local EHR and effectively lost to the scientific community. The evidence base for the most lethal and least-understood pediatric neurological conditions cannot be built within any single institution. Federated, privacy-preserving AI infrastructure — connecting children's hospital neurology programs node by node — is not a future investment for this specialty. It is already overdue.</w:t>
      </w:r>
    </w:p>
    <w:p w14:paraId="352027A8" w14:textId="77777777" w:rsidR="002B751B" w:rsidRDefault="002B751B">
      <w:pPr>
        <w:spacing w:before="60" w:after="60"/>
      </w:pPr>
    </w:p>
    <w:p w14:paraId="2D9E200A" w14:textId="77777777" w:rsidR="002B751B" w:rsidRDefault="002B751B">
      <w:pPr>
        <w:pBdr>
          <w:bottom w:val="single" w:sz="6" w:space="1" w:color="2E4E7E"/>
        </w:pBdr>
        <w:spacing w:before="100" w:after="100"/>
      </w:pPr>
    </w:p>
    <w:p w14:paraId="263FE877" w14:textId="77777777" w:rsidR="002B751B" w:rsidRDefault="00000000">
      <w:pPr>
        <w:pStyle w:val="Heading2"/>
        <w:spacing w:before="160"/>
      </w:pPr>
      <w:r>
        <w:t>ARTICLE INFORMATION</w:t>
      </w:r>
    </w:p>
    <w:p w14:paraId="7CC5E5FC" w14:textId="77777777" w:rsidR="002B751B" w:rsidRDefault="00000000">
      <w:pPr>
        <w:spacing w:before="60" w:after="60"/>
      </w:pPr>
      <w:r>
        <w:rPr>
          <w:rFonts w:ascii="Arial" w:eastAsia="Arial" w:hAnsi="Arial" w:cs="Arial"/>
          <w:b/>
          <w:bCs/>
          <w:sz w:val="18"/>
          <w:szCs w:val="18"/>
        </w:rPr>
        <w:t xml:space="preserve">Published: </w:t>
      </w:r>
      <w:r>
        <w:t xml:space="preserve">2026. </w:t>
      </w:r>
      <w:proofErr w:type="gramStart"/>
      <w:r>
        <w:t>doi:10.PM</w:t>
      </w:r>
      <w:proofErr w:type="gramEnd"/>
      <w:r>
        <w:t>/neuro-25yr.2026</w:t>
      </w:r>
    </w:p>
    <w:p w14:paraId="4F14DCB2" w14:textId="25993C37" w:rsidR="002B751B" w:rsidRDefault="00000000">
      <w:pPr>
        <w:spacing w:before="60" w:after="60"/>
      </w:pPr>
      <w:r>
        <w:rPr>
          <w:rFonts w:ascii="Arial" w:eastAsia="Arial" w:hAnsi="Arial" w:cs="Arial"/>
          <w:b/>
          <w:bCs/>
          <w:sz w:val="18"/>
          <w:szCs w:val="18"/>
        </w:rPr>
        <w:t xml:space="preserve">Author Affiliation: </w:t>
      </w:r>
      <w:r>
        <w:t xml:space="preserve">Pediatric Moonshot, </w:t>
      </w:r>
    </w:p>
    <w:p w14:paraId="6E638515" w14:textId="392E3E36" w:rsidR="002B751B" w:rsidRDefault="00000000">
      <w:pPr>
        <w:spacing w:before="60" w:after="60"/>
      </w:pPr>
      <w:r>
        <w:rPr>
          <w:rFonts w:ascii="Arial" w:eastAsia="Arial" w:hAnsi="Arial" w:cs="Arial"/>
          <w:b/>
          <w:bCs/>
          <w:sz w:val="18"/>
          <w:szCs w:val="18"/>
        </w:rPr>
        <w:t xml:space="preserve">Corresponding </w:t>
      </w:r>
      <w:proofErr w:type="gramStart"/>
      <w:r>
        <w:rPr>
          <w:rFonts w:ascii="Arial" w:eastAsia="Arial" w:hAnsi="Arial" w:cs="Arial"/>
          <w:b/>
          <w:bCs/>
          <w:sz w:val="18"/>
          <w:szCs w:val="18"/>
        </w:rPr>
        <w:t>Author:</w:t>
      </w:r>
      <w:r>
        <w:t>,</w:t>
      </w:r>
      <w:proofErr w:type="gramEnd"/>
      <w:r>
        <w:t xml:space="preserve"> Pediatric Moonshot. </w:t>
      </w:r>
      <w:r w:rsidR="00781F45">
        <w:t>info</w:t>
      </w:r>
      <w:r>
        <w:t>@pediatricmoonshot.org</w:t>
      </w:r>
    </w:p>
    <w:p w14:paraId="7AF57076" w14:textId="77777777" w:rsidR="002B751B" w:rsidRDefault="00000000">
      <w:pPr>
        <w:spacing w:before="60" w:after="60"/>
      </w:pPr>
      <w:r>
        <w:rPr>
          <w:rFonts w:ascii="Arial" w:eastAsia="Arial" w:hAnsi="Arial" w:cs="Arial"/>
          <w:b/>
          <w:bCs/>
          <w:sz w:val="18"/>
          <w:szCs w:val="18"/>
        </w:rPr>
        <w:t xml:space="preserve">Conflict of Interest Disclosures: </w:t>
      </w:r>
      <w:r>
        <w:t>None reported.</w:t>
      </w:r>
    </w:p>
    <w:p w14:paraId="34E84632" w14:textId="77777777" w:rsidR="002B751B" w:rsidRDefault="00000000">
      <w:pPr>
        <w:spacing w:before="60" w:after="60"/>
      </w:pPr>
      <w:r>
        <w:rPr>
          <w:rFonts w:ascii="Arial" w:eastAsia="Arial" w:hAnsi="Arial" w:cs="Arial"/>
          <w:b/>
          <w:bCs/>
          <w:sz w:val="18"/>
          <w:szCs w:val="18"/>
        </w:rPr>
        <w:t xml:space="preserve">Methodology: </w:t>
      </w:r>
      <w:r>
        <w:t xml:space="preserve">Temporal classification of all 232 Pediatric Neurology Atlas conditions (April 2026 version) using founding molecular or clinical discovery year. Pre-2000 conditions were recognized as distinct clinical or molecular entities before January 2000. Post-2000 conditions were defined by </w:t>
      </w:r>
      <w:r>
        <w:lastRenderedPageBreak/>
        <w:t>gene discovery, antibody identification, or formal disease classification after 2000. Counts are approximate; conditions at the 1999/2000 boundary were classified conservatively as pre-2000.</w:t>
      </w:r>
    </w:p>
    <w:p w14:paraId="4DD9B239" w14:textId="77777777" w:rsidR="002B751B" w:rsidRDefault="002B751B">
      <w:pPr>
        <w:spacing w:before="60" w:after="60"/>
      </w:pPr>
    </w:p>
    <w:p w14:paraId="3397082E" w14:textId="77777777" w:rsidR="002B751B" w:rsidRDefault="00000000">
      <w:pPr>
        <w:pStyle w:val="Heading2"/>
        <w:spacing w:before="160"/>
      </w:pPr>
      <w:r>
        <w:t>SOURCES</w:t>
      </w:r>
    </w:p>
    <w:p w14:paraId="44218D86" w14:textId="77777777" w:rsidR="002B751B" w:rsidRDefault="00000000">
      <w:pPr>
        <w:spacing w:before="60" w:after="80"/>
        <w:jc w:val="both"/>
      </w:pPr>
      <w:r>
        <w:t>Pediatric Neurology Atlas 2026 · Child Neurology Society · ILAE · AANEM · Published clinical and genomics literature</w:t>
      </w:r>
    </w:p>
    <w:sectPr w:rsidR="002B751B">
      <w:headerReference w:type="default" r:id="rId7"/>
      <w:footerReference w:type="default" r:id="rId8"/>
      <w:pgSz w:w="12240" w:h="15840"/>
      <w:pgMar w:top="1440" w:right="1296" w:bottom="1440"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96484" w14:textId="77777777" w:rsidR="00E17A4E" w:rsidRDefault="00E17A4E">
      <w:r>
        <w:separator/>
      </w:r>
    </w:p>
  </w:endnote>
  <w:endnote w:type="continuationSeparator" w:id="0">
    <w:p w14:paraId="7610A313" w14:textId="77777777" w:rsidR="00E17A4E" w:rsidRDefault="00E17A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967AA" w14:textId="77777777" w:rsidR="002B751B" w:rsidRDefault="00000000">
    <w:pPr>
      <w:pBdr>
        <w:top w:val="single" w:sz="4" w:space="1" w:color="CCCCCC"/>
      </w:pBdr>
      <w:spacing w:before="80"/>
      <w:jc w:val="center"/>
    </w:pPr>
    <w:r>
      <w:rPr>
        <w:rFonts w:ascii="Arial" w:eastAsia="Arial" w:hAnsi="Arial" w:cs="Arial"/>
        <w:color w:val="888888"/>
        <w:sz w:val="16"/>
        <w:szCs w:val="16"/>
      </w:rPr>
      <w:t>© 2026 Pediatric Moonshot. Open access under CC-BY-NC-ND.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5C6075" w14:textId="77777777" w:rsidR="00E17A4E" w:rsidRDefault="00E17A4E">
      <w:r>
        <w:separator/>
      </w:r>
    </w:p>
  </w:footnote>
  <w:footnote w:type="continuationSeparator" w:id="0">
    <w:p w14:paraId="51B4E904" w14:textId="77777777" w:rsidR="00E17A4E" w:rsidRDefault="00E17A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F2567" w14:textId="77777777" w:rsidR="002B751B" w:rsidRDefault="00000000">
    <w:pPr>
      <w:pBdr>
        <w:bottom w:val="single" w:sz="4" w:space="1" w:color="2E4E7E"/>
      </w:pBdr>
      <w:tabs>
        <w:tab w:val="right" w:pos="9360"/>
      </w:tabs>
      <w:spacing w:after="100"/>
    </w:pPr>
    <w:r>
      <w:rPr>
        <w:rFonts w:ascii="Arial" w:eastAsia="Arial" w:hAnsi="Arial" w:cs="Arial"/>
        <w:color w:val="2E4E7E"/>
        <w:sz w:val="16"/>
        <w:szCs w:val="16"/>
      </w:rPr>
      <w:t>Pediatric Moonshot | Pediatric Neurology Atlas 2026</w:t>
    </w:r>
    <w:r>
      <w:rPr>
        <w:rFonts w:ascii="Arial" w:eastAsia="Arial" w:hAnsi="Arial" w:cs="Arial"/>
        <w:color w:val="888888"/>
        <w:sz w:val="16"/>
        <w:szCs w:val="16"/>
      </w:rPr>
      <w:tab/>
    </w:r>
    <w:r>
      <w:rPr>
        <w:rFonts w:ascii="Arial" w:eastAsia="Arial" w:hAnsi="Arial" w:cs="Arial"/>
        <w:color w:val="888888"/>
        <w:sz w:val="16"/>
        <w:szCs w:val="16"/>
      </w:rPr>
      <w:tab/>
    </w:r>
    <w:r>
      <w:rPr>
        <w:rFonts w:ascii="Arial" w:eastAsia="Arial" w:hAnsi="Arial" w:cs="Arial"/>
        <w:color w:val="888888"/>
        <w:sz w:val="16"/>
        <w:szCs w:val="16"/>
      </w:rPr>
      <w:tab/>
    </w:r>
    <w:r>
      <w:rPr>
        <w:rFonts w:ascii="Arial" w:eastAsia="Arial" w:hAnsi="Arial" w:cs="Arial"/>
        <w:color w:val="888888"/>
        <w:sz w:val="16"/>
        <w:szCs w:val="16"/>
      </w:rPr>
      <w:tab/>
    </w:r>
    <w:r>
      <w:rPr>
        <w:rFonts w:ascii="Arial" w:eastAsia="Arial" w:hAnsi="Arial" w:cs="Arial"/>
        <w:color w:val="888888"/>
        <w:sz w:val="16"/>
        <w:szCs w:val="16"/>
      </w:rPr>
      <w:tab/>
    </w:r>
    <w:r>
      <w:rPr>
        <w:rFonts w:ascii="Arial" w:eastAsia="Arial" w:hAnsi="Arial" w:cs="Arial"/>
        <w:color w:val="888888"/>
        <w:sz w:val="16"/>
        <w:szCs w:val="16"/>
      </w:rPr>
      <w:tab/>
    </w:r>
    <w:r>
      <w:rPr>
        <w:rFonts w:ascii="Arial" w:eastAsia="Arial" w:hAnsi="Arial" w:cs="Arial"/>
        <w:color w:val="888888"/>
        <w:sz w:val="16"/>
        <w:szCs w:val="16"/>
      </w:rPr>
      <w:tab/>
    </w:r>
    <w:r>
      <w:rPr>
        <w:rFonts w:ascii="Arial" w:eastAsia="Arial" w:hAnsi="Arial" w:cs="Arial"/>
        <w:color w:val="888888"/>
        <w:sz w:val="16"/>
        <w:szCs w:val="16"/>
      </w:rPr>
      <w:tab/>
    </w:r>
    <w:r>
      <w:rPr>
        <w:rFonts w:ascii="Arial" w:eastAsia="Arial" w:hAnsi="Arial" w:cs="Arial"/>
        <w:color w:val="888888"/>
        <w:sz w:val="16"/>
        <w:szCs w:val="16"/>
      </w:rPr>
      <w:tab/>
      <w:t xml:space="preserve">Page </w:t>
    </w:r>
    <w:r>
      <w:rPr>
        <w:rFonts w:ascii="Arial" w:eastAsia="Arial" w:hAnsi="Arial" w:cs="Arial"/>
        <w:color w:val="888888"/>
        <w:sz w:val="16"/>
        <w:szCs w:val="16"/>
      </w:rPr>
      <w:fldChar w:fldCharType="begin"/>
    </w:r>
    <w:r>
      <w:rPr>
        <w:rFonts w:ascii="Arial" w:eastAsia="Arial" w:hAnsi="Arial" w:cs="Arial"/>
        <w:color w:val="888888"/>
        <w:sz w:val="16"/>
        <w:szCs w:val="16"/>
      </w:rPr>
      <w:instrText>PAGE</w:instrText>
    </w:r>
    <w:r>
      <w:rPr>
        <w:rFonts w:ascii="Arial" w:eastAsia="Arial" w:hAnsi="Arial" w:cs="Arial"/>
        <w:color w:val="888888"/>
        <w:sz w:val="16"/>
        <w:szCs w:val="16"/>
      </w:rPr>
      <w:fldChar w:fldCharType="separate"/>
    </w:r>
    <w:r w:rsidR="00EF7CBB">
      <w:rPr>
        <w:rFonts w:ascii="Arial" w:eastAsia="Arial" w:hAnsi="Arial" w:cs="Arial"/>
        <w:noProof/>
        <w:color w:val="888888"/>
        <w:sz w:val="16"/>
        <w:szCs w:val="16"/>
      </w:rPr>
      <w:t>1</w:t>
    </w:r>
    <w:r>
      <w:rPr>
        <w:rFonts w:ascii="Arial" w:eastAsia="Arial" w:hAnsi="Arial" w:cs="Arial"/>
        <w:color w:val="888888"/>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19457C"/>
    <w:multiLevelType w:val="hybridMultilevel"/>
    <w:tmpl w:val="F1F61B32"/>
    <w:lvl w:ilvl="0" w:tplc="A1083542">
      <w:start w:val="1"/>
      <w:numFmt w:val="bullet"/>
      <w:lvlText w:val="•"/>
      <w:lvlJc w:val="left"/>
      <w:pPr>
        <w:ind w:left="720" w:hanging="360"/>
      </w:pPr>
    </w:lvl>
    <w:lvl w:ilvl="1" w:tplc="AAB200D8">
      <w:numFmt w:val="decimal"/>
      <w:lvlText w:val=""/>
      <w:lvlJc w:val="left"/>
    </w:lvl>
    <w:lvl w:ilvl="2" w:tplc="DB64130C">
      <w:numFmt w:val="decimal"/>
      <w:lvlText w:val=""/>
      <w:lvlJc w:val="left"/>
    </w:lvl>
    <w:lvl w:ilvl="3" w:tplc="068EF122">
      <w:numFmt w:val="decimal"/>
      <w:lvlText w:val=""/>
      <w:lvlJc w:val="left"/>
    </w:lvl>
    <w:lvl w:ilvl="4" w:tplc="5D68F054">
      <w:numFmt w:val="decimal"/>
      <w:lvlText w:val=""/>
      <w:lvlJc w:val="left"/>
    </w:lvl>
    <w:lvl w:ilvl="5" w:tplc="6B0C0FC2">
      <w:numFmt w:val="decimal"/>
      <w:lvlText w:val=""/>
      <w:lvlJc w:val="left"/>
    </w:lvl>
    <w:lvl w:ilvl="6" w:tplc="E2208E9A">
      <w:numFmt w:val="decimal"/>
      <w:lvlText w:val=""/>
      <w:lvlJc w:val="left"/>
    </w:lvl>
    <w:lvl w:ilvl="7" w:tplc="0D861B2E">
      <w:numFmt w:val="decimal"/>
      <w:lvlText w:val=""/>
      <w:lvlJc w:val="left"/>
    </w:lvl>
    <w:lvl w:ilvl="8" w:tplc="02304E4E">
      <w:numFmt w:val="decimal"/>
      <w:lvlText w:val=""/>
      <w:lvlJc w:val="left"/>
    </w:lvl>
  </w:abstractNum>
  <w:abstractNum w:abstractNumId="1" w15:restartNumberingAfterBreak="0">
    <w:nsid w:val="46102652"/>
    <w:multiLevelType w:val="hybridMultilevel"/>
    <w:tmpl w:val="814E1C7E"/>
    <w:lvl w:ilvl="0" w:tplc="7CA64FAC">
      <w:start w:val="1"/>
      <w:numFmt w:val="bullet"/>
      <w:lvlText w:val="●"/>
      <w:lvlJc w:val="left"/>
      <w:pPr>
        <w:ind w:left="720" w:hanging="360"/>
      </w:pPr>
    </w:lvl>
    <w:lvl w:ilvl="1" w:tplc="EBEC631E">
      <w:start w:val="1"/>
      <w:numFmt w:val="bullet"/>
      <w:lvlText w:val="○"/>
      <w:lvlJc w:val="left"/>
      <w:pPr>
        <w:ind w:left="1440" w:hanging="360"/>
      </w:pPr>
    </w:lvl>
    <w:lvl w:ilvl="2" w:tplc="F6CED6B0">
      <w:start w:val="1"/>
      <w:numFmt w:val="bullet"/>
      <w:lvlText w:val="■"/>
      <w:lvlJc w:val="left"/>
      <w:pPr>
        <w:ind w:left="2160" w:hanging="360"/>
      </w:pPr>
    </w:lvl>
    <w:lvl w:ilvl="3" w:tplc="C45236A4">
      <w:start w:val="1"/>
      <w:numFmt w:val="bullet"/>
      <w:lvlText w:val="●"/>
      <w:lvlJc w:val="left"/>
      <w:pPr>
        <w:ind w:left="2880" w:hanging="360"/>
      </w:pPr>
    </w:lvl>
    <w:lvl w:ilvl="4" w:tplc="9ADC5606">
      <w:start w:val="1"/>
      <w:numFmt w:val="bullet"/>
      <w:lvlText w:val="○"/>
      <w:lvlJc w:val="left"/>
      <w:pPr>
        <w:ind w:left="3600" w:hanging="360"/>
      </w:pPr>
    </w:lvl>
    <w:lvl w:ilvl="5" w:tplc="82C4123C">
      <w:start w:val="1"/>
      <w:numFmt w:val="bullet"/>
      <w:lvlText w:val="■"/>
      <w:lvlJc w:val="left"/>
      <w:pPr>
        <w:ind w:left="4320" w:hanging="360"/>
      </w:pPr>
    </w:lvl>
    <w:lvl w:ilvl="6" w:tplc="00FC2026">
      <w:start w:val="1"/>
      <w:numFmt w:val="bullet"/>
      <w:lvlText w:val="●"/>
      <w:lvlJc w:val="left"/>
      <w:pPr>
        <w:ind w:left="5040" w:hanging="360"/>
      </w:pPr>
    </w:lvl>
    <w:lvl w:ilvl="7" w:tplc="9B14E276">
      <w:start w:val="1"/>
      <w:numFmt w:val="bullet"/>
      <w:lvlText w:val="●"/>
      <w:lvlJc w:val="left"/>
      <w:pPr>
        <w:ind w:left="5760" w:hanging="360"/>
      </w:pPr>
    </w:lvl>
    <w:lvl w:ilvl="8" w:tplc="648018CA">
      <w:start w:val="1"/>
      <w:numFmt w:val="bullet"/>
      <w:lvlText w:val="●"/>
      <w:lvlJc w:val="left"/>
      <w:pPr>
        <w:ind w:left="6480" w:hanging="360"/>
      </w:pPr>
    </w:lvl>
  </w:abstractNum>
  <w:num w:numId="1" w16cid:durableId="411707942">
    <w:abstractNumId w:val="1"/>
    <w:lvlOverride w:ilvl="0">
      <w:startOverride w:val="1"/>
    </w:lvlOverride>
  </w:num>
  <w:num w:numId="2" w16cid:durableId="5478812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751B"/>
    <w:rsid w:val="002B751B"/>
    <w:rsid w:val="004625F5"/>
    <w:rsid w:val="00781F45"/>
    <w:rsid w:val="00AB6657"/>
    <w:rsid w:val="00E17A4E"/>
    <w:rsid w:val="00EF7C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3C37D6C"/>
  <w15:docId w15:val="{E984C5F6-262A-3E4E-8E8B-81EE2610A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1" w:color="2E4E7E"/>
      </w:pBdr>
      <w:spacing w:before="280" w:after="100"/>
      <w:outlineLvl w:val="0"/>
    </w:pPr>
    <w:rPr>
      <w:rFonts w:ascii="Arial" w:eastAsia="Arial" w:hAnsi="Arial" w:cs="Arial"/>
      <w:b/>
      <w:bCs/>
      <w:color w:val="2E4E7E"/>
      <w:sz w:val="26"/>
      <w:szCs w:val="26"/>
    </w:rPr>
  </w:style>
  <w:style w:type="paragraph" w:styleId="Heading2">
    <w:name w:val="heading 2"/>
    <w:uiPriority w:val="9"/>
    <w:unhideWhenUsed/>
    <w:qFormat/>
    <w:pPr>
      <w:spacing w:before="180" w:after="60"/>
      <w:outlineLvl w:val="1"/>
    </w:pPr>
    <w:rPr>
      <w:rFonts w:ascii="Arial" w:eastAsia="Arial" w:hAnsi="Arial" w:cs="Arial"/>
      <w:b/>
      <w:bCs/>
      <w:color w:val="2E4E7E"/>
      <w:sz w:val="22"/>
      <w:szCs w:val="22"/>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2618</Words>
  <Characters>14925</Characters>
  <Application>Microsoft Office Word</Application>
  <DocSecurity>0</DocSecurity>
  <Lines>124</Lines>
  <Paragraphs>35</Paragraphs>
  <ScaleCrop>false</ScaleCrop>
  <Company/>
  <LinksUpToDate>false</LinksUpToDate>
  <CharactersWithSpaces>17508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timothy chou</cp:lastModifiedBy>
  <cp:revision>4</cp:revision>
  <dcterms:created xsi:type="dcterms:W3CDTF">2026-06-03T22:35:00Z</dcterms:created>
  <dcterms:modified xsi:type="dcterms:W3CDTF">2026-06-03T22:41:00Z</dcterms:modified>
</cp:coreProperties>
</file>