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PROVIDER NETWORK AND CONTRACT TIER LOGIC</w:t>
      </w:r>
    </w:p>
    <w:p>
      <w:r>
        <w:t xml:space="preserve">Policy ID: APX-NET-TIER1-PROF-2026</w:t>
      </w:r>
    </w:p>
    <w:p>
      <w:r>
        <w:t xml:space="preserve">Payer: Apex Health Plan</w:t>
      </w:r>
    </w:p>
    <w:p>
      <w:r>
        <w:t xml:space="preserve">Product: Commercial PPO 500</w:t>
      </w:r>
    </w:p>
    <w:p>
      <w:r>
        <w:t xml:space="preserve">Medical Logic Branch: Network-Par, Contract-Tier</w:t>
      </w:r>
    </w:p>
    <w:p>
      <w:r>
        <w:t xml:space="preserve">Adjudication Weight: 73.2</w:t>
      </w:r>
    </w:p>
    <w:p>
      <w:r>
        <w:t xml:space="preserve">Ingestion Status: Ready for Upload</w:t>
      </w:r>
    </w:p>
    <w:p>
      <w:r>
        <w:t xml:space="preserve">Effective Date: 2026-01-01</w:t>
      </w:r>
    </w:p>
    <w:p>
      <w:r>
        <w:t xml:space="preserve">Rule Summary</w:t>
      </w:r>
    </w:p>
    <w:p>
      <w:r>
        <w:t xml:space="preserve">Professional claims may receive straight-through approval when the servicing or billing provider is in network and mapped to an active contract tier applicable to the member product.</w:t>
      </w:r>
    </w:p>
    <w:p>
      <w:r>
        <w:t xml:space="preserve">Network Conditions</w:t>
      </w:r>
    </w:p>
    <w:p>
      <w:r>
        <w:t xml:space="preserve">For automated adjudication:</w:t>
      </w:r>
    </w:p>
    <w:p>
      <w:r>
        <w:t xml:space="preserve">- provider must have active in-network status</w:t>
      </w:r>
    </w:p>
    <w:p>
      <w:r>
        <w:t xml:space="preserve">- provider must not be suspended or terminated on the date of service</w:t>
      </w:r>
    </w:p>
    <w:p>
      <w:r>
        <w:t xml:space="preserve">- provider must be eligible to furnish the billed service type</w:t>
      </w:r>
    </w:p>
    <w:p>
      <w:r>
        <w:t xml:space="preserve">Contract Tier Conditions</w:t>
      </w:r>
    </w:p>
    <w:p>
      <w:r>
        <w:t xml:space="preserve">Tier 1 outpatient professional providers are eligible for the standard contracted allowables under Commercial PPO 500. Claims meeting all other policy criteria may be paid at contracted rates without manual contract validation.</w:t>
      </w:r>
    </w:p>
    <w:p>
      <w:r>
        <w:t xml:space="preserve">Review Triggers</w:t>
      </w:r>
    </w:p>
    <w:p>
      <w:r>
        <w:t xml:space="preserve">Route to review if:</w:t>
      </w:r>
    </w:p>
    <w:p>
      <w:r>
        <w:t xml:space="preserve">- provider network status is unknown</w:t>
      </w:r>
    </w:p>
    <w:p>
      <w:r>
        <w:t xml:space="preserve">- provider is out of network and product-specific reimbursement logic is missing</w:t>
      </w:r>
    </w:p>
    <w:p>
      <w:r>
        <w:t xml:space="preserve">- the billed service conflicts with the provider specialty or contract tier</w:t>
      </w:r>
    </w:p>
    <w:p>
      <w:r>
        <w:t xml:space="preserve">Adjudication Recommendation</w:t>
      </w:r>
    </w:p>
    <w:p>
      <w:r>
        <w:t xml:space="preserve">If the provider is verified as Tier 1 and in network, provider contract logic supports approval of routine professional office visits that otherwise satisfy clinical and plan rules.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ClaimsOS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ClaimsOS Policy Sample</dc:title>
</cp:coreProperties>
</file>