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PRIOR AUTHORIZATION RULE FOR ORTHOPEDIC SURGICAL SERVICES</w:t>
      </w:r>
    </w:p>
    <w:p>
      <w:r>
        <w:t xml:space="preserve">Policy ID: APX-PRIORAUTH-ORTHO-2026</w:t>
      </w:r>
    </w:p>
    <w:p>
      <w:r>
        <w:t xml:space="preserve">Payer: Apex Health Plan</w:t>
      </w:r>
    </w:p>
    <w:p>
      <w:r>
        <w:t xml:space="preserve">Product: Commercial PPO 500</w:t>
      </w:r>
    </w:p>
    <w:p>
      <w:r>
        <w:t xml:space="preserve">Medical Logic Branch: Prior-Auth, Ortho-Surg</w:t>
      </w:r>
    </w:p>
    <w:p>
      <w:r>
        <w:t xml:space="preserve">Adjudication Weight: 91.8</w:t>
      </w:r>
    </w:p>
    <w:p>
      <w:r>
        <w:t xml:space="preserve">Ingestion Status: Ready for Upload</w:t>
      </w:r>
    </w:p>
    <w:p>
      <w:r>
        <w:t xml:space="preserve">Effective Date: 2026-01-01</w:t>
      </w:r>
    </w:p>
    <w:p>
      <w:r>
        <w:t xml:space="preserve">Rule Summary</w:t>
      </w:r>
    </w:p>
    <w:p>
      <w:r>
        <w:t xml:space="preserve">Selected orthopedic surgical procedures require prior authorization before reimbursement. This rule is included in the test pack so ClaimsOS can distinguish routine office visits from higher-scrutiny surgical services.</w:t>
      </w:r>
    </w:p>
    <w:p>
      <w:r>
        <w:t xml:space="preserve">Procedures Commonly Requiring Prior Authorization</w:t>
      </w:r>
    </w:p>
    <w:p>
      <w:r>
        <w:t xml:space="preserve">Examples include:</w:t>
      </w:r>
    </w:p>
    <w:p>
      <w:pPr>
        <w:pStyle w:val="Heading1"/>
      </w:pPr>
      <w:r>
        <w:t xml:space="preserve">- CPT 27447</w:t>
      </w:r>
    </w:p>
    <w:p>
      <w:pPr>
        <w:pStyle w:val="Heading1"/>
      </w:pPr>
      <w:r>
        <w:t xml:space="preserve">- CPT 29881</w:t>
      </w:r>
    </w:p>
    <w:p>
      <w:pPr>
        <w:pStyle w:val="Heading1"/>
      </w:pPr>
      <w:r>
        <w:t xml:space="preserve">- CPT 29888</w:t>
      </w:r>
    </w:p>
    <w:p>
      <w:pPr>
        <w:pStyle w:val="Heading1"/>
      </w:pPr>
      <w:r>
        <w:t xml:space="preserve">- CPT 23472</w:t>
      </w:r>
    </w:p>
    <w:p>
      <w:r>
        <w:t xml:space="preserve">Review Logic</w:t>
      </w:r>
    </w:p>
    <w:p>
      <w:r>
        <w:t xml:space="preserve">Claims billed with the above orthopedic surgical procedures should route to review when no valid prior authorization record is present for the service date and servicing provider.</w:t>
      </w:r>
    </w:p>
    <w:p>
      <w:r>
        <w:t xml:space="preserve">Routine office evaluation and management claims such as CPT 99213 do not require prior authorization under this rule unless bundled with a separately reviewable service.</w:t>
      </w:r>
    </w:p>
    <w:p>
      <w:r>
        <w:t xml:space="preserve">Adjudication Recommendation</w:t>
      </w:r>
    </w:p>
    <w:p>
      <w:r>
        <w:t xml:space="preserve">Do not use this rule to deny routine outpatient office visits. Use it to identify orthopedic surgical claims that require prior authorization verification.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ClaimsOS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ClaimsOS Policy Sample</dc:title>
</cp:coreProperties>
</file>