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right"/>
      </w:pPr>
      <w:r>
        <w:rPr>
          <w:b/>
          <w:bCs/>
          <w:color w:val="E0004D"/>
          <w:sz w:val="32"/>
          <w:szCs w:val="32"/>
        </w:rPr>
        <w:t xml:space="preserve">HDFC Life</w:t>
      </w:r>
    </w:p>
    <w:p>
      <w:pPr>
        <w:spacing w:after="300"/>
      </w:pPr>
    </w:p>
    <w:p>
      <w:r>
        <w:t xml:space="preserve">August 26, 2026</w:t>
      </w:r>
    </w:p>
    <w:p>
      <w:pPr>
        <w:spacing w:after="200"/>
      </w:pPr>
    </w:p>
    <w:p>
      <w:r>
        <w:t xml:space="preserve">Ref. No.: HDFC Life/CA/2026-27/34</w:t>
      </w:r>
    </w:p>
    <w:p>
      <w:pPr>
        <w:spacing w:after="20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Pr>
          <w:p>
            <w:r>
              <w:rPr>
                <w:b/>
                <w:bCs/>
              </w:rPr>
              <w:t xml:space="preserve">Listing Department</w:t>
            </w:r>
          </w:p>
          <w:p>
            <w:r>
              <w:rPr>
                <w:b/>
                <w:bCs/>
              </w:rPr>
              <w:t xml:space="preserve">National Stock Exchange of India Limited</w:t>
            </w:r>
          </w:p>
          <w:p>
            <w:r>
              <w:t xml:space="preserve">Exchange Plaza, Plot No C/1, Block G,</w:t>
            </w:r>
          </w:p>
          <w:p>
            <w:r>
              <w:t xml:space="preserve">Bandra-Kurla Complex,</w:t>
            </w:r>
          </w:p>
          <w:p>
            <w:r>
              <w:t xml:space="preserve">Bandra (East),</w:t>
            </w:r>
          </w:p>
          <w:p>
            <w:r>
              <w:t xml:space="preserve">Mumbai- 400 051</w:t>
            </w:r>
          </w:p>
        </w:tc>
        <w:tc>
          <w:tcPr>
            <w:tcW w:type="dxa" w:w="4680"/>
          </w:tcPr>
          <w:p>
            <w:r>
              <w:rPr>
                <w:b/>
                <w:bCs/>
              </w:rPr>
              <w:t xml:space="preserve">Listing Department</w:t>
            </w:r>
          </w:p>
          <w:p>
            <w:r>
              <w:rPr>
                <w:b/>
                <w:bCs/>
              </w:rPr>
              <w:t xml:space="preserve">BSE Limited</w:t>
            </w:r>
          </w:p>
          <w:p>
            <w:r>
              <w:t xml:space="preserve">Sir PJ Towers,</w:t>
            </w:r>
          </w:p>
          <w:p>
            <w:r>
              <w:t xml:space="preserve">Dalal Street,</w:t>
            </w:r>
          </w:p>
          <w:p>
            <w:r>
              <w:t xml:space="preserve">Fort,</w:t>
            </w:r>
          </w:p>
          <w:p>
            <w:r>
              <w:t xml:space="preserve">Mumbai – 400 001</w:t>
            </w:r>
          </w:p>
        </w:tc>
      </w:tr>
    </w:tbl>
    <w:p>
      <w:pPr>
        <w:spacing w:after="200" w:before="200"/>
      </w:pP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Pr>
          <w:p>
            <w:r>
              <w:rPr>
                <w:u w:val="single"/>
              </w:rPr>
              <w:t xml:space="preserve">NSE Symbol: </w:t>
            </w:r>
            <w:r>
              <w:rPr>
                <w:u w:val="single"/>
              </w:rPr>
              <w:t xml:space="preserve">HDFCLIFE</w:t>
            </w:r>
          </w:p>
        </w:tc>
        <w:tc>
          <w:tcPr>
            <w:tcW w:type="dxa" w:w="4680"/>
          </w:tcPr>
          <w:p>
            <w:r>
              <w:rPr>
                <w:u w:val="single"/>
              </w:rPr>
              <w:t xml:space="preserve">BSE Security Code: </w:t>
            </w:r>
            <w:r>
              <w:rPr>
                <w:u w:val="single"/>
              </w:rPr>
              <w:t xml:space="preserve">540777</w:t>
            </w:r>
          </w:p>
        </w:tc>
      </w:tr>
    </w:tbl>
    <w:p>
      <w:pPr>
        <w:spacing w:after="200" w:before="300"/>
      </w:pPr>
      <w:r>
        <w:t xml:space="preserve">Dear Sir/ Madam,</w:t>
      </w:r>
    </w:p>
    <w:p>
      <w:pPr>
        <w:spacing w:after="200"/>
      </w:pPr>
      <w:r>
        <w:rPr>
          <w:b/>
          <w:bCs/>
        </w:rPr>
        <w:t xml:space="preserve">Sub: </w:t>
      </w:r>
      <w:r>
        <w:rPr>
          <w:b/>
          <w:bCs/>
          <w:u w:val="single"/>
        </w:rPr>
        <w:t xml:space="preserve">Allotment of equity shares under Employee Stock Option Schemes</w:t>
      </w:r>
    </w:p>
    <w:p>
      <w:pPr>
        <w:spacing w:after="200"/>
      </w:pPr>
      <w:r>
        <w:t xml:space="preserve">We wish to inform that the Stakeholders’ Relationship Committee of the Board of Directors of the Company, on August 26, 2026, has allotted 1,14,000 equity shares to the eligible option holders pursuant to the exercise of stock options under the Company’s various Employee Stock Option Schemes.</w:t>
      </w:r>
    </w:p>
    <w:p>
      <w:pPr>
        <w:spacing w:after="200"/>
      </w:pPr>
      <w:r>
        <w:t xml:space="preserve">Post the aforesaid allotment, the paid-up equity share capital of the Company stands at ₹ 21,72,58,89,810 comprising of 2,17,25,88,981 equity shares of face value of ₹ 10 each.</w:t>
      </w:r>
    </w:p>
    <w:p>
      <w:pPr>
        <w:spacing w:after="200"/>
      </w:pPr>
      <w:r>
        <w:t xml:space="preserve">This is for your information and appropriate dissemination.</w:t>
      </w:r>
    </w:p>
    <w:p>
      <w:pPr>
        <w:spacing w:after="200"/>
      </w:pPr>
      <w:r>
        <w:t xml:space="preserve">Thanking you,</w:t>
      </w:r>
    </w:p>
    <w:p>
      <w:pPr>
        <w:spacing w:after="400"/>
      </w:pPr>
      <w:r>
        <w:t xml:space="preserve">For HDFC Life Insurance Company Limited</w:t>
      </w:r>
    </w:p>
    <w:p>
      <w:pPr>
        <w:spacing w:after="100"/>
      </w:pPr>
      <w:r>
        <w:rPr>
          <w:b/>
          <w:bCs/>
        </w:rPr>
        <w:t xml:space="preserve">Nagesh Pai</w:t>
      </w:r>
    </w:p>
    <w:p>
      <w:r>
        <w:t xml:space="preserve">Company Secretary &amp; Compliance Officer</w:t>
      </w:r>
    </w:p>
    <w:p>
      <w:pPr>
        <w:pBdr>
          <w:top w:val="single" w:color="AAAAAA" w:sz="6"/>
        </w:pBdr>
        <w:spacing w:before="800"/>
      </w:pPr>
    </w:p>
    <w:p>
      <w:r>
        <w:rPr>
          <w:sz w:val="16"/>
          <w:szCs w:val="16"/>
        </w:rPr>
        <w:t xml:space="preserve">HDFC Life Insurance Company Limited</w:t>
      </w:r>
    </w:p>
    <w:p>
      <w:r>
        <w:rPr>
          <w:sz w:val="16"/>
          <w:szCs w:val="16"/>
        </w:rPr>
        <w:t xml:space="preserve">Corporate &amp; Registered Office: 13th Floor, Lodha Excelus, Apollo Mills Compound, N. M. Joshi Marg, Mahalaxmi, Mumbai - 400 011.</w:t>
      </w:r>
    </w:p>
    <w:p>
      <w:r>
        <w:rPr>
          <w:sz w:val="16"/>
          <w:szCs w:val="16"/>
        </w:rPr>
        <w:t xml:space="preserve">CIN: L65110MH2000PLC128245</w:t>
      </w:r>
    </w:p>
    <w:p>
      <w:r>
        <w:rPr>
          <w:sz w:val="16"/>
          <w:szCs w:val="16"/>
        </w:rPr>
        <w:t xml:space="preserve">+91 22 6751 6666  |  022-68446530  |  www.hdfclife.com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2026-09-18T14:34:43.644Z</dcterms:created>
  <dcterms:modified xsi:type="dcterms:W3CDTF">2026-09-18T14:34:43.653Z</dcterms:modified>
</cp:coreProperties>
</file>

<file path=docProps/custom.xml><?xml version="1.0" encoding="utf-8"?>
<Properties xmlns="http://schemas.openxmlformats.org/officeDocument/2006/custom-properties" xmlns:vt="http://schemas.openxmlformats.org/officeDocument/2006/docPropsVTypes"/>
</file>