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IIPS Production Market Data &amp; Intelligence Ingestion Program v1.0</w:t>
      </w:r>
    </w:p>
    <w:p>
      <w:pPr>
        <w:jc w:val="center"/>
      </w:pPr>
      <w:r>
        <w:rPr>
          <w:i/>
        </w:rPr>
        <w:t>v1.0 — Requirements / Development Roadmap</w:t>
      </w:r>
    </w:p>
    <w:p>
      <w:pPr>
        <w:jc w:val="center"/>
      </w:pPr>
      <w:r>
        <w:rPr>
          <w:b/>
        </w:rPr>
        <w:t>PLANNING SPECIFICATION — NOT AN IMPLEMENTATION AUTHORIZATION</w:t>
      </w:r>
    </w:p>
    <w:p>
      <w:r>
        <w:t>Date: 2026-09-08</w:t>
      </w:r>
    </w:p>
    <w:p>
      <w:pPr>
        <w:pStyle w:val="Heading1"/>
      </w:pPr>
      <w:r>
        <w:t>1. Scope &amp; Authority Boundary</w:t>
      </w:r>
    </w:p>
    <w:p>
      <w:r>
        <w:t>This is a planning/requirements specification. It establishes the intended development sequence, dependencies, deliverables and certification gates. It does not itself authorize implementation, provider procurement, production credentials or production activation; those remain subject to explicit program authority and phase gates.</w:t>
      </w:r>
    </w:p>
    <w:p>
      <w:r>
        <w:t>Scope: external providers → acquisition → ingestion → normalization → canonical data → historical/point-in-time storage → corporate actions → intelligence datasets → engine/research consumption → evidence/provenance → governed APIs/G2 → UI → E2E certification → production onboarding → operations.</w:t>
      </w:r>
    </w:p>
    <w:p>
      <w:pPr>
        <w:pStyle w:val="Heading1"/>
      </w:pPr>
      <w:r>
        <w:t>2. Target Product / Supplied UI Screenshot</w:t>
      </w:r>
    </w:p>
    <w:p>
      <w:r>
        <w:t>The supplied UI screenshot is incorporated as the target/reference product surface. It is a functional product-parity target, not merely a visual mock. The existing roadmap describes this target as an integrated investment/research platform and the dashboard as an aggregation layer over the underlying product domains.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9c24ca-0b73-4ce8-afb1-fcf20741ddf4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Supplied IIPS UI screenshot / product-parity reference</w:t>
      </w:r>
    </w:p>
    <w:p>
      <w:pPr>
        <w:pStyle w:val="Heading1"/>
      </w:pPr>
      <w:r>
        <w:t>3. Product Surface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Surface</w:t>
            </w:r>
          </w:p>
        </w:tc>
        <w:tc>
          <w:tcPr>
            <w:tcW w:type="dxa" w:w="2556"/>
          </w:tcPr>
          <w:p>
            <w:r>
              <w:t>Scope</w:t>
            </w:r>
          </w:p>
        </w:tc>
        <w:tc>
          <w:tcPr>
            <w:tcW w:type="dxa" w:w="2556"/>
          </w:tcPr>
          <w:p>
            <w:r>
              <w:t>Primary data role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Dashboard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Aggregation / presentation</w:t>
            </w:r>
          </w:p>
        </w:tc>
        <w:tc>
          <w:tcPr>
            <w:tcW w:type="dxa" w:w="2556"/>
          </w:tcPr>
          <w:p>
            <w:r>
              <w:t>Must consume governed domain outputs; no invented business logic</w:t>
            </w:r>
          </w:p>
        </w:tc>
      </w:tr>
      <w:tr>
        <w:tc>
          <w:tcPr>
            <w:tcW w:type="dxa" w:w="2556"/>
          </w:tcPr>
          <w:p>
            <w:r>
              <w:t>Company Workspace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analytics</w:t>
            </w:r>
          </w:p>
        </w:tc>
        <w:tc>
          <w:tcPr>
            <w:tcW w:type="dxa" w:w="2556"/>
          </w:tcPr>
          <w:p>
            <w:r>
              <w:t>Overview, financials, valuation, scorecard, risks, news, notes, evidence</w:t>
            </w:r>
          </w:p>
        </w:tc>
      </w:tr>
      <w:tr>
        <w:tc>
          <w:tcPr>
            <w:tcW w:type="dxa" w:w="2556"/>
          </w:tcPr>
          <w:p>
            <w:r>
              <w:t>Portfolio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analytics</w:t>
            </w:r>
          </w:p>
        </w:tc>
        <w:tc>
          <w:tcPr>
            <w:tcW w:type="dxa" w:w="2556"/>
          </w:tcPr>
          <w:p>
            <w:r>
              <w:t>Holdings, allocation, performance, risk, transactions, analytics</w:t>
            </w:r>
          </w:p>
        </w:tc>
      </w:tr>
      <w:tr>
        <w:tc>
          <w:tcPr>
            <w:tcW w:type="dxa" w:w="2556"/>
          </w:tcPr>
          <w:p>
            <w:r>
              <w:t>Research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intelligence</w:t>
            </w:r>
          </w:p>
        </w:tc>
        <w:tc>
          <w:tcPr>
            <w:tcW w:type="dxa" w:w="2556"/>
          </w:tcPr>
          <w:p>
            <w:r>
              <w:t>Research library, search, taxonomy, company/sector/macro research</w:t>
            </w:r>
          </w:p>
        </w:tc>
      </w:tr>
      <w:tr>
        <w:tc>
          <w:tcPr>
            <w:tcW w:type="dxa" w:w="2556"/>
          </w:tcPr>
          <w:p>
            <w:r>
              <w:t>Screener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filtering</w:t>
            </w:r>
          </w:p>
        </w:tc>
        <w:tc>
          <w:tcPr>
            <w:tcW w:type="dxa" w:w="2556"/>
          </w:tcPr>
          <w:p>
            <w:r>
              <w:t>Universe, filters, scores, sortable results, saved screens</w:t>
            </w:r>
          </w:p>
        </w:tc>
      </w:tr>
      <w:tr>
        <w:tc>
          <w:tcPr>
            <w:tcW w:type="dxa" w:w="2556"/>
          </w:tcPr>
          <w:p>
            <w:r>
              <w:t>Decision Center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Governed workflow</w:t>
            </w:r>
          </w:p>
        </w:tc>
        <w:tc>
          <w:tcPr>
            <w:tcW w:type="dxa" w:w="2556"/>
          </w:tcPr>
          <w:p>
            <w:r>
              <w:t>Decisions, proposals, approvals, history, evidence</w:t>
            </w:r>
          </w:p>
        </w:tc>
      </w:tr>
      <w:tr>
        <w:tc>
          <w:tcPr>
            <w:tcW w:type="dxa" w:w="2556"/>
          </w:tcPr>
          <w:p>
            <w:r>
              <w:t>Watchlists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triggers</w:t>
            </w:r>
          </w:p>
        </w:tc>
        <w:tc>
          <w:tcPr>
            <w:tcW w:type="dxa" w:w="2556"/>
          </w:tcPr>
          <w:p>
            <w:r>
              <w:t>Persistent lists, triggers, score changes</w:t>
            </w:r>
          </w:p>
        </w:tc>
      </w:tr>
      <w:tr>
        <w:tc>
          <w:tcPr>
            <w:tcW w:type="dxa" w:w="2556"/>
          </w:tcPr>
          <w:p>
            <w:r>
              <w:t>Reports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Data + provenance</w:t>
            </w:r>
          </w:p>
        </w:tc>
        <w:tc>
          <w:tcPr>
            <w:tcW w:type="dxa" w:w="2556"/>
          </w:tcPr>
          <w:p>
            <w:r>
              <w:t>Templates, generated reports, source/timestamp/lineage</w:t>
            </w:r>
          </w:p>
        </w:tc>
      </w:tr>
      <w:tr>
        <w:tc>
          <w:tcPr>
            <w:tcW w:type="dxa" w:w="2556"/>
          </w:tcPr>
          <w:p>
            <w:r>
              <w:t>Alerts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Events + notification</w:t>
            </w:r>
          </w:p>
        </w:tc>
        <w:tc>
          <w:tcPr>
            <w:tcW w:type="dxa" w:w="2556"/>
          </w:tcPr>
          <w:p>
            <w:r>
              <w:t>Rules, events, notifications, acknowledgement</w:t>
            </w:r>
          </w:p>
        </w:tc>
      </w:tr>
      <w:tr>
        <w:tc>
          <w:tcPr>
            <w:tcW w:type="dxa" w:w="2556"/>
          </w:tcPr>
          <w:p>
            <w:r>
              <w:t>Collaboration</w:t>
            </w:r>
          </w:p>
        </w:tc>
        <w:tc>
          <w:tcPr>
            <w:tcW w:type="dxa" w:w="2556"/>
          </w:tcPr>
          <w:p>
            <w:r>
              <w:t>Applicable</w:t>
            </w:r>
          </w:p>
        </w:tc>
        <w:tc>
          <w:tcPr>
            <w:tcW w:type="dxa" w:w="2556"/>
          </w:tcPr>
          <w:p>
            <w:r>
              <w:t>Contextual collaboration</w:t>
            </w:r>
          </w:p>
        </w:tc>
        <w:tc>
          <w:tcPr>
            <w:tcW w:type="dxa" w:w="2556"/>
          </w:tcPr>
          <w:p>
            <w:r>
              <w:t>Comments, mentions, shared research/watchlists, assignments, activity</w:t>
            </w:r>
          </w:p>
        </w:tc>
      </w:tr>
      <w:tr>
        <w:tc>
          <w:tcPr>
            <w:tcW w:type="dxa" w:w="2556"/>
          </w:tcPr>
          <w:p>
            <w:r>
              <w:t>Administration</w:t>
            </w:r>
          </w:p>
        </w:tc>
        <w:tc>
          <w:tcPr>
            <w:tcW w:type="dxa" w:w="2556"/>
          </w:tcPr>
          <w:p>
            <w:r>
              <w:t>Applicable</w:t>
            </w:r>
          </w:p>
        </w:tc>
        <w:tc>
          <w:tcPr>
            <w:tcW w:type="dxa" w:w="2556"/>
          </w:tcPr>
          <w:p>
            <w:r>
              <w:t>Governed platform baseline</w:t>
            </w:r>
          </w:p>
        </w:tc>
        <w:tc>
          <w:tcPr>
            <w:tcW w:type="dxa" w:w="2556"/>
          </w:tcPr>
          <w:p>
            <w:r>
              <w:t>Provider/admin configuration only where authorized</w:t>
            </w:r>
          </w:p>
        </w:tc>
      </w:tr>
      <w:tr>
        <w:tc>
          <w:tcPr>
            <w:tcW w:type="dxa" w:w="2556"/>
          </w:tcPr>
          <w:p>
            <w:r>
              <w:t>Settings</w:t>
            </w:r>
          </w:p>
        </w:tc>
        <w:tc>
          <w:tcPr>
            <w:tcW w:type="dxa" w:w="2556"/>
          </w:tcPr>
          <w:p>
            <w:r>
              <w:t>Applicable</w:t>
            </w:r>
          </w:p>
        </w:tc>
        <w:tc>
          <w:tcPr>
            <w:tcW w:type="dxa" w:w="2556"/>
          </w:tcPr>
          <w:p>
            <w:r>
              <w:t>Identity/preferences/configuration</w:t>
            </w:r>
          </w:p>
        </w:tc>
        <w:tc>
          <w:tcPr>
            <w:tcW w:type="dxa" w:w="2556"/>
          </w:tcPr>
          <w:p>
            <w:r>
              <w:t>Data preferences and user configuration only where applicable</w:t>
            </w:r>
          </w:p>
        </w:tc>
      </w:tr>
      <w:tr>
        <w:tc>
          <w:tcPr>
            <w:tcW w:type="dxa" w:w="2556"/>
          </w:tcPr>
          <w:p>
            <w:r>
              <w:t>Global Search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Cross-domain search</w:t>
            </w:r>
          </w:p>
        </w:tc>
        <w:tc>
          <w:tcPr>
            <w:tcW w:type="dxa" w:w="2556"/>
          </w:tcPr>
          <w:p>
            <w:r>
              <w:t>Search company, research, holdings, decisions, evidence, alerts, reports</w:t>
            </w:r>
          </w:p>
        </w:tc>
      </w:tr>
      <w:tr>
        <w:tc>
          <w:tcPr>
            <w:tcW w:type="dxa" w:w="2556"/>
          </w:tcPr>
          <w:p>
            <w:r>
              <w:t>Command Palette / Quick Actions</w:t>
            </w:r>
          </w:p>
        </w:tc>
        <w:tc>
          <w:tcPr>
            <w:tcW w:type="dxa" w:w="2556"/>
          </w:tcPr>
          <w:p>
            <w:r>
              <w:t>Applicable</w:t>
            </w:r>
          </w:p>
        </w:tc>
        <w:tc>
          <w:tcPr>
            <w:tcW w:type="dxa" w:w="2556"/>
          </w:tcPr>
          <w:p>
            <w:r>
              <w:t>Action orchestration</w:t>
            </w:r>
          </w:p>
        </w:tc>
        <w:tc>
          <w:tcPr>
            <w:tcW w:type="dxa" w:w="2556"/>
          </w:tcPr>
          <w:p>
            <w:r>
              <w:t>Open/create/review actions against governed domains</w:t>
            </w:r>
          </w:p>
        </w:tc>
      </w:tr>
    </w:tbl>
    <w:p>
      <w:pPr>
        <w:pStyle w:val="Heading1"/>
      </w:pPr>
      <w:r>
        <w:t>4. Data Domain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Domain</w:t>
            </w:r>
          </w:p>
        </w:tc>
        <w:tc>
          <w:tcPr>
            <w:tcW w:type="dxa" w:w="1704"/>
          </w:tcPr>
          <w:p>
            <w:r>
              <w:t>Operating mode</w:t>
            </w:r>
          </w:p>
        </w:tc>
        <w:tc>
          <w:tcPr>
            <w:tcW w:type="dxa" w:w="1704"/>
          </w:tcPr>
          <w:p>
            <w:r>
              <w:t>Requirement</w:t>
            </w:r>
          </w:p>
        </w:tc>
        <w:tc>
          <w:tcPr>
            <w:tcW w:type="dxa" w:w="1704"/>
          </w:tcPr>
          <w:p>
            <w:r>
              <w:t>Primary phases</w:t>
            </w:r>
          </w:p>
        </w:tc>
        <w:tc>
          <w:tcPr>
            <w:tcW w:type="dxa" w:w="1704"/>
          </w:tcPr>
          <w:p>
            <w:r>
              <w:t>Primary consumers</w:t>
            </w:r>
          </w:p>
        </w:tc>
      </w:tr>
      <w:tr>
        <w:tc>
          <w:tcPr>
            <w:tcW w:type="dxa" w:w="1704"/>
          </w:tcPr>
          <w:p>
            <w:r>
              <w:t>D01</w:t>
            </w:r>
          </w:p>
        </w:tc>
        <w:tc>
          <w:tcPr>
            <w:tcW w:type="dxa" w:w="1704"/>
          </w:tcPr>
          <w:p>
            <w:r>
              <w:t>Market prices / quotes</w:t>
            </w:r>
          </w:p>
        </w:tc>
        <w:tc>
          <w:tcPr>
            <w:tcW w:type="dxa" w:w="1704"/>
          </w:tcPr>
          <w:p>
            <w:r>
              <w:t>LIVE + historical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P05–P08</w:t>
            </w:r>
          </w:p>
        </w:tc>
        <w:tc>
          <w:tcPr>
            <w:tcW w:type="dxa" w:w="1704"/>
          </w:tcPr>
          <w:p>
            <w:r>
              <w:t>UI, engines, portfolio, dashboard</w:t>
            </w:r>
          </w:p>
        </w:tc>
      </w:tr>
      <w:tr>
        <w:tc>
          <w:tcPr>
            <w:tcW w:type="dxa" w:w="1704"/>
          </w:tcPr>
          <w:p>
            <w:r>
              <w:t>D02</w:t>
            </w:r>
          </w:p>
        </w:tc>
        <w:tc>
          <w:tcPr>
            <w:tcW w:type="dxa" w:w="1704"/>
          </w:tcPr>
          <w:p>
            <w:r>
              <w:t>Historical OHLCV</w:t>
            </w:r>
          </w:p>
        </w:tc>
        <w:tc>
          <w:tcPr>
            <w:tcW w:type="dxa" w:w="1704"/>
          </w:tcPr>
          <w:p>
            <w:r>
              <w:t>Historical / PIT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P05–P08</w:t>
            </w:r>
          </w:p>
        </w:tc>
        <w:tc>
          <w:tcPr>
            <w:tcW w:type="dxa" w:w="1704"/>
          </w:tcPr>
          <w:p>
            <w:r>
              <w:t>Charts, research, screening, engines</w:t>
            </w:r>
          </w:p>
        </w:tc>
      </w:tr>
      <w:tr>
        <w:tc>
          <w:tcPr>
            <w:tcW w:type="dxa" w:w="1704"/>
          </w:tcPr>
          <w:p>
            <w:r>
              <w:t>D03</w:t>
            </w:r>
          </w:p>
        </w:tc>
        <w:tc>
          <w:tcPr>
            <w:tcW w:type="dxa" w:w="1704"/>
          </w:tcPr>
          <w:p>
            <w:r>
              <w:t>Fundamentals / financial statements</w:t>
            </w:r>
          </w:p>
        </w:tc>
        <w:tc>
          <w:tcPr>
            <w:tcW w:type="dxa" w:w="1704"/>
          </w:tcPr>
          <w:p>
            <w:r>
              <w:t>PIT + snapshot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P09</w:t>
            </w:r>
          </w:p>
        </w:tc>
        <w:tc>
          <w:tcPr>
            <w:tcW w:type="dxa" w:w="1704"/>
          </w:tcPr>
          <w:p>
            <w:r>
              <w:t>Company, research, scoring</w:t>
            </w:r>
          </w:p>
        </w:tc>
      </w:tr>
      <w:tr>
        <w:tc>
          <w:tcPr>
            <w:tcW w:type="dxa" w:w="1704"/>
          </w:tcPr>
          <w:p>
            <w:r>
              <w:t>D04</w:t>
            </w:r>
          </w:p>
        </w:tc>
        <w:tc>
          <w:tcPr>
            <w:tcW w:type="dxa" w:w="1704"/>
          </w:tcPr>
          <w:p>
            <w:r>
              <w:t>Corporate actions</w:t>
            </w:r>
          </w:p>
        </w:tc>
        <w:tc>
          <w:tcPr>
            <w:tcW w:type="dxa" w:w="1704"/>
          </w:tcPr>
          <w:p>
            <w:r>
              <w:t>PIT + effective-date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P08</w:t>
            </w:r>
          </w:p>
        </w:tc>
        <w:tc>
          <w:tcPr>
            <w:tcW w:type="dxa" w:w="1704"/>
          </w:tcPr>
          <w:p>
            <w:r>
              <w:t>Portfolio, price adjustment, evidence</w:t>
            </w:r>
          </w:p>
        </w:tc>
      </w:tr>
      <w:tr>
        <w:tc>
          <w:tcPr>
            <w:tcW w:type="dxa" w:w="1704"/>
          </w:tcPr>
          <w:p>
            <w:r>
              <w:t>D05</w:t>
            </w:r>
          </w:p>
        </w:tc>
        <w:tc>
          <w:tcPr>
            <w:tcW w:type="dxa" w:w="1704"/>
          </w:tcPr>
          <w:p>
            <w:r>
              <w:t>Instrument / security master</w:t>
            </w:r>
          </w:p>
        </w:tc>
        <w:tc>
          <w:tcPr>
            <w:tcW w:type="dxa" w:w="1704"/>
          </w:tcPr>
          <w:p>
            <w:r>
              <w:t>Current + historical lifecycle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P04</w:t>
            </w:r>
          </w:p>
        </w:tc>
        <w:tc>
          <w:tcPr>
            <w:tcW w:type="dxa" w:w="1704"/>
          </w:tcPr>
          <w:p>
            <w:r>
              <w:t>All domains</w:t>
            </w:r>
          </w:p>
        </w:tc>
      </w:tr>
      <w:tr>
        <w:tc>
          <w:tcPr>
            <w:tcW w:type="dxa" w:w="1704"/>
          </w:tcPr>
          <w:p>
            <w:r>
              <w:t>D06</w:t>
            </w:r>
          </w:p>
        </w:tc>
        <w:tc>
          <w:tcPr>
            <w:tcW w:type="dxa" w:w="1704"/>
          </w:tcPr>
          <w:p>
            <w:r>
              <w:t>News / events</w:t>
            </w:r>
          </w:p>
        </w:tc>
        <w:tc>
          <w:tcPr>
            <w:tcW w:type="dxa" w:w="1704"/>
          </w:tcPr>
          <w:p>
            <w:r>
              <w:t>LIVE + historical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P10</w:t>
            </w:r>
          </w:p>
        </w:tc>
        <w:tc>
          <w:tcPr>
            <w:tcW w:type="dxa" w:w="1704"/>
          </w:tcPr>
          <w:p>
            <w:r>
              <w:t>Research, alerts, dashboard</w:t>
            </w:r>
          </w:p>
        </w:tc>
      </w:tr>
      <w:tr>
        <w:tc>
          <w:tcPr>
            <w:tcW w:type="dxa" w:w="1704"/>
          </w:tcPr>
          <w:p>
            <w:r>
              <w:t>D07</w:t>
            </w:r>
          </w:p>
        </w:tc>
        <w:tc>
          <w:tcPr>
            <w:tcW w:type="dxa" w:w="1704"/>
          </w:tcPr>
          <w:p>
            <w:r>
              <w:t>Analyst estimates / consensus</w:t>
            </w:r>
          </w:p>
        </w:tc>
        <w:tc>
          <w:tcPr>
            <w:tcW w:type="dxa" w:w="1704"/>
          </w:tcPr>
          <w:p>
            <w:r>
              <w:t>Snapshot + PIT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P10</w:t>
            </w:r>
          </w:p>
        </w:tc>
        <w:tc>
          <w:tcPr>
            <w:tcW w:type="dxa" w:w="1704"/>
          </w:tcPr>
          <w:p>
            <w:r>
              <w:t>Research, valuation, dashboard</w:t>
            </w:r>
          </w:p>
        </w:tc>
      </w:tr>
      <w:tr>
        <w:tc>
          <w:tcPr>
            <w:tcW w:type="dxa" w:w="1704"/>
          </w:tcPr>
          <w:p>
            <w:r>
              <w:t>D08</w:t>
            </w:r>
          </w:p>
        </w:tc>
        <w:tc>
          <w:tcPr>
            <w:tcW w:type="dxa" w:w="1704"/>
          </w:tcPr>
          <w:p>
            <w:r>
              <w:t>Macroeconomic data</w:t>
            </w:r>
          </w:p>
        </w:tc>
        <w:tc>
          <w:tcPr>
            <w:tcW w:type="dxa" w:w="1704"/>
          </w:tcPr>
          <w:p>
            <w:r>
              <w:t>Snapshot + historical/PIT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P10</w:t>
            </w:r>
          </w:p>
        </w:tc>
        <w:tc>
          <w:tcPr>
            <w:tcW w:type="dxa" w:w="1704"/>
          </w:tcPr>
          <w:p>
            <w:r>
              <w:t>Research, thematic analysis</w:t>
            </w:r>
          </w:p>
        </w:tc>
      </w:tr>
      <w:tr>
        <w:tc>
          <w:tcPr>
            <w:tcW w:type="dxa" w:w="1704"/>
          </w:tcPr>
          <w:p>
            <w:r>
              <w:t>D09</w:t>
            </w:r>
          </w:p>
        </w:tc>
        <w:tc>
          <w:tcPr>
            <w:tcW w:type="dxa" w:w="1704"/>
          </w:tcPr>
          <w:p>
            <w:r>
              <w:t>Alternative data</w:t>
            </w:r>
          </w:p>
        </w:tc>
        <w:tc>
          <w:tcPr>
            <w:tcW w:type="dxa" w:w="1704"/>
          </w:tcPr>
          <w:p>
            <w:r>
              <w:t>Governed/approved only</w:t>
            </w:r>
          </w:p>
        </w:tc>
        <w:tc>
          <w:tcPr>
            <w:tcW w:type="dxa" w:w="1704"/>
          </w:tcPr>
          <w:p>
            <w:r>
              <w:t>Required by applicability</w:t>
            </w:r>
          </w:p>
        </w:tc>
        <w:tc>
          <w:tcPr>
            <w:tcW w:type="dxa" w:w="1704"/>
          </w:tcPr>
          <w:p>
            <w:r>
              <w:t>P10</w:t>
            </w:r>
          </w:p>
        </w:tc>
        <w:tc>
          <w:tcPr>
            <w:tcW w:type="dxa" w:w="1704"/>
          </w:tcPr>
          <w:p>
            <w:r>
              <w:t>Research/engines where approved</w:t>
            </w:r>
          </w:p>
        </w:tc>
      </w:tr>
      <w:tr>
        <w:tc>
          <w:tcPr>
            <w:tcW w:type="dxa" w:w="1704"/>
          </w:tcPr>
          <w:p>
            <w:r>
              <w:t>D10</w:t>
            </w:r>
          </w:p>
        </w:tc>
        <w:tc>
          <w:tcPr>
            <w:tcW w:type="dxa" w:w="1704"/>
          </w:tcPr>
          <w:p>
            <w:r>
              <w:t>Exchange/reference metadata</w:t>
            </w:r>
          </w:p>
        </w:tc>
        <w:tc>
          <w:tcPr>
            <w:tcW w:type="dxa" w:w="1704"/>
          </w:tcPr>
          <w:p>
            <w:r>
              <w:t>Current + historical where relevant</w:t>
            </w:r>
          </w:p>
        </w:tc>
        <w:tc>
          <w:tcPr>
            <w:tcW w:type="dxa" w:w="1704"/>
          </w:tcPr>
          <w:p>
            <w:r>
              <w:t>Required</w:t>
            </w:r>
          </w:p>
        </w:tc>
        <w:tc>
          <w:tcPr>
            <w:tcW w:type="dxa" w:w="1704"/>
          </w:tcPr>
          <w:p>
            <w:r>
              <w:t>P04–P05</w:t>
            </w:r>
          </w:p>
        </w:tc>
        <w:tc>
          <w:tcPr>
            <w:tcW w:type="dxa" w:w="1704"/>
          </w:tcPr>
          <w:p>
            <w:r>
              <w:t>Security master, data quality</w:t>
            </w:r>
          </w:p>
        </w:tc>
      </w:tr>
    </w:tbl>
    <w:p>
      <w:pPr>
        <w:pStyle w:val="Heading1"/>
      </w:pPr>
      <w:r>
        <w:t>5. Operating Modes</w:t>
      </w:r>
    </w:p>
    <w:p>
      <w:r>
        <w:rPr>
          <w:b/>
        </w:rPr>
        <w:t xml:space="preserve">LIVE — </w:t>
      </w:r>
      <w:r>
        <w:t>Current provider-fed data with explicit received/as-of timestamps, freshness and degraded-state semantics.</w:t>
      </w:r>
    </w:p>
    <w:p>
      <w:r>
        <w:rPr>
          <w:b/>
        </w:rPr>
        <w:t xml:space="preserve">SNAPSHOT — </w:t>
      </w:r>
      <w:r>
        <w:t>Frozen deterministic dataset for certification, reproducibility and controlled demonstrations.</w:t>
      </w:r>
    </w:p>
    <w:p>
      <w:r>
        <w:rPr>
          <w:b/>
        </w:rPr>
        <w:t xml:space="preserve">HISTORICAL / POINT-IN-TIME — </w:t>
      </w:r>
      <w:r>
        <w:t>Data queried as it was knowable at a defined historical/as-of boundary; publication/effective times preserved.</w:t>
      </w:r>
    </w:p>
    <w:p>
      <w:r>
        <w:t>Mode mixing must be explicit. No consumer may silently combine live, snapshot and PIT data.</w:t>
      </w:r>
    </w:p>
    <w:p>
      <w:pPr>
        <w:pStyle w:val="Heading1"/>
      </w:pPr>
      <w:r>
        <w:t>6. Master Phase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Phase</w:t>
            </w:r>
          </w:p>
        </w:tc>
        <w:tc>
          <w:tcPr>
            <w:tcW w:type="dxa" w:w="2045"/>
          </w:tcPr>
          <w:p>
            <w:r>
              <w:t>Name</w:t>
            </w:r>
          </w:p>
        </w:tc>
        <w:tc>
          <w:tcPr>
            <w:tcW w:type="dxa" w:w="2045"/>
          </w:tcPr>
          <w:p>
            <w:r>
              <w:t>Objective</w:t>
            </w:r>
          </w:p>
        </w:tc>
        <w:tc>
          <w:tcPr>
            <w:tcW w:type="dxa" w:w="2045"/>
          </w:tcPr>
          <w:p>
            <w:r>
              <w:t>Dependencies</w:t>
            </w:r>
          </w:p>
        </w:tc>
        <w:tc>
          <w:tcPr>
            <w:tcW w:type="dxa" w:w="2045"/>
          </w:tcPr>
          <w:p>
            <w:r>
              <w:t>Next</w:t>
            </w:r>
          </w:p>
        </w:tc>
      </w:tr>
      <w:tr>
        <w:tc>
          <w:tcPr>
            <w:tcW w:type="dxa" w:w="2045"/>
          </w:tcPr>
          <w:p>
            <w:r>
              <w:t>P00</w:t>
            </w:r>
          </w:p>
        </w:tc>
        <w:tc>
          <w:tcPr>
            <w:tcW w:type="dxa" w:w="2045"/>
          </w:tcPr>
          <w:p>
            <w:r>
              <w:t>Program Baseline &amp; Governance</w:t>
            </w:r>
          </w:p>
        </w:tc>
        <w:tc>
          <w:tcPr>
            <w:tcW w:type="dxa" w:w="2045"/>
          </w:tcPr>
          <w:p>
            <w:r>
              <w:t>Establish scope, baseline, contracts, ownership, certification model and non-goals before implementation.</w:t>
            </w:r>
          </w:p>
        </w:tc>
        <w:tc>
          <w:tcPr>
            <w:tcW w:type="dxa" w:w="2045"/>
          </w:tcPr>
          <w:p>
            <w:r>
              <w:t>None</w:t>
            </w:r>
          </w:p>
        </w:tc>
        <w:tc>
          <w:tcPr>
            <w:tcW w:type="dxa" w:w="2045"/>
          </w:tcPr>
          <w:p>
            <w:r>
              <w:t>P01–P17</w:t>
            </w:r>
          </w:p>
        </w:tc>
      </w:tr>
      <w:tr>
        <w:tc>
          <w:tcPr>
            <w:tcW w:type="dxa" w:w="2045"/>
          </w:tcPr>
          <w:p>
            <w:r>
              <w:t>P01</w:t>
            </w:r>
          </w:p>
        </w:tc>
        <w:tc>
          <w:tcPr>
            <w:tcW w:type="dxa" w:w="2045"/>
          </w:tcPr>
          <w:p>
            <w:r>
              <w:t>Data Contract &amp; Canonical Domain Model</w:t>
            </w:r>
          </w:p>
        </w:tc>
        <w:tc>
          <w:tcPr>
            <w:tcW w:type="dxa" w:w="2045"/>
          </w:tcPr>
          <w:p>
            <w:r>
              <w:t>Define canonical schemas, identifiers, timestamps, units, currencies, source/provenance and operating modes.</w:t>
            </w:r>
          </w:p>
        </w:tc>
        <w:tc>
          <w:tcPr>
            <w:tcW w:type="dxa" w:w="2045"/>
          </w:tcPr>
          <w:p>
            <w:r>
              <w:t>P00</w:t>
            </w:r>
          </w:p>
        </w:tc>
        <w:tc>
          <w:tcPr>
            <w:tcW w:type="dxa" w:w="2045"/>
          </w:tcPr>
          <w:p>
            <w:r>
              <w:t>P02–P12</w:t>
            </w:r>
          </w:p>
        </w:tc>
      </w:tr>
      <w:tr>
        <w:tc>
          <w:tcPr>
            <w:tcW w:type="dxa" w:w="2045"/>
          </w:tcPr>
          <w:p>
            <w:r>
              <w:t>P02</w:t>
            </w:r>
          </w:p>
        </w:tc>
        <w:tc>
          <w:tcPr>
            <w:tcW w:type="dxa" w:w="2045"/>
          </w:tcPr>
          <w:p>
            <w:r>
              <w:t>Provider Abstraction &amp; Entitlement Model</w:t>
            </w:r>
          </w:p>
        </w:tc>
        <w:tc>
          <w:tcPr>
            <w:tcW w:type="dxa" w:w="2045"/>
          </w:tcPr>
          <w:p>
            <w:r>
              <w:t>Create provider-neutral adapter contracts and explicit licensing/entitlement boundaries.</w:t>
            </w:r>
          </w:p>
        </w:tc>
        <w:tc>
          <w:tcPr>
            <w:tcW w:type="dxa" w:w="2045"/>
          </w:tcPr>
          <w:p>
            <w:r>
              <w:t>P00,P01</w:t>
            </w:r>
          </w:p>
        </w:tc>
        <w:tc>
          <w:tcPr>
            <w:tcW w:type="dxa" w:w="2045"/>
          </w:tcPr>
          <w:p>
            <w:r>
              <w:t>P03,P05,P16</w:t>
            </w:r>
          </w:p>
        </w:tc>
      </w:tr>
      <w:tr>
        <w:tc>
          <w:tcPr>
            <w:tcW w:type="dxa" w:w="2045"/>
          </w:tcPr>
          <w:p>
            <w:r>
              <w:t>P03</w:t>
            </w:r>
          </w:p>
        </w:tc>
        <w:tc>
          <w:tcPr>
            <w:tcW w:type="dxa" w:w="2045"/>
          </w:tcPr>
          <w:p>
            <w:r>
              <w:t>Secrets, Security &amp; Tenant Controls</w:t>
            </w:r>
          </w:p>
        </w:tc>
        <w:tc>
          <w:tcPr>
            <w:tcW w:type="dxa" w:w="2045"/>
          </w:tcPr>
          <w:p>
            <w:r>
              <w:t>Secure provider credentials, service identities, tenant isolation and access controls.</w:t>
            </w:r>
          </w:p>
        </w:tc>
        <w:tc>
          <w:tcPr>
            <w:tcW w:type="dxa" w:w="2045"/>
          </w:tcPr>
          <w:p>
            <w:r>
              <w:t>P00,P02</w:t>
            </w:r>
          </w:p>
        </w:tc>
        <w:tc>
          <w:tcPr>
            <w:tcW w:type="dxa" w:w="2045"/>
          </w:tcPr>
          <w:p>
            <w:r>
              <w:t>P05,P11,P16</w:t>
            </w:r>
          </w:p>
        </w:tc>
      </w:tr>
      <w:tr>
        <w:tc>
          <w:tcPr>
            <w:tcW w:type="dxa" w:w="2045"/>
          </w:tcPr>
          <w:p>
            <w:r>
              <w:t>P04</w:t>
            </w:r>
          </w:p>
        </w:tc>
        <w:tc>
          <w:tcPr>
            <w:tcW w:type="dxa" w:w="2045"/>
          </w:tcPr>
          <w:p>
            <w:r>
              <w:t>Instrument / Security Master</w:t>
            </w:r>
          </w:p>
        </w:tc>
        <w:tc>
          <w:tcPr>
            <w:tcW w:type="dxa" w:w="2045"/>
          </w:tcPr>
          <w:p>
            <w:r>
              <w:t>Establish authoritative instrument identity, mappings, listings, exchanges, currencies and lifecycle state.</w:t>
            </w:r>
          </w:p>
        </w:tc>
        <w:tc>
          <w:tcPr>
            <w:tcW w:type="dxa" w:w="2045"/>
          </w:tcPr>
          <w:p>
            <w:r>
              <w:t>P01,P02,P03</w:t>
            </w:r>
          </w:p>
        </w:tc>
        <w:tc>
          <w:tcPr>
            <w:tcW w:type="dxa" w:w="2045"/>
          </w:tcPr>
          <w:p>
            <w:r>
              <w:t>P05–P12</w:t>
            </w:r>
          </w:p>
        </w:tc>
      </w:tr>
      <w:tr>
        <w:tc>
          <w:tcPr>
            <w:tcW w:type="dxa" w:w="2045"/>
          </w:tcPr>
          <w:p>
            <w:r>
              <w:t>P05</w:t>
            </w:r>
          </w:p>
        </w:tc>
        <w:tc>
          <w:tcPr>
            <w:tcW w:type="dxa" w:w="2045"/>
          </w:tcPr>
          <w:p>
            <w:r>
              <w:t>Market Data Acquisition &amp; Ingestion</w:t>
            </w:r>
          </w:p>
        </w:tc>
        <w:tc>
          <w:tcPr>
            <w:tcW w:type="dxa" w:w="2045"/>
          </w:tcPr>
          <w:p>
            <w:r>
              <w:t>Implement deterministic/local ingestion first, then provider adapters for quotes, prices and historical market data.</w:t>
            </w:r>
          </w:p>
        </w:tc>
        <w:tc>
          <w:tcPr>
            <w:tcW w:type="dxa" w:w="2045"/>
          </w:tcPr>
          <w:p>
            <w:r>
              <w:t>P01–P04</w:t>
            </w:r>
          </w:p>
        </w:tc>
        <w:tc>
          <w:tcPr>
            <w:tcW w:type="dxa" w:w="2045"/>
          </w:tcPr>
          <w:p>
            <w:r>
              <w:t>P06–P12</w:t>
            </w:r>
          </w:p>
        </w:tc>
      </w:tr>
      <w:tr>
        <w:tc>
          <w:tcPr>
            <w:tcW w:type="dxa" w:w="2045"/>
          </w:tcPr>
          <w:p>
            <w:r>
              <w:t>P06</w:t>
            </w:r>
          </w:p>
        </w:tc>
        <w:tc>
          <w:tcPr>
            <w:tcW w:type="dxa" w:w="2045"/>
          </w:tcPr>
          <w:p>
            <w:r>
              <w:t>Normalization &amp; Canonical Data Pipeline</w:t>
            </w:r>
          </w:p>
        </w:tc>
        <w:tc>
          <w:tcPr>
            <w:tcW w:type="dxa" w:w="2045"/>
          </w:tcPr>
          <w:p>
            <w:r>
              <w:t>Normalize provider-specific payloads into governed canonical representations without feeding raw provider data directly to engines.</w:t>
            </w:r>
          </w:p>
        </w:tc>
        <w:tc>
          <w:tcPr>
            <w:tcW w:type="dxa" w:w="2045"/>
          </w:tcPr>
          <w:p>
            <w:r>
              <w:t>P01,P04,P05</w:t>
            </w:r>
          </w:p>
        </w:tc>
        <w:tc>
          <w:tcPr>
            <w:tcW w:type="dxa" w:w="2045"/>
          </w:tcPr>
          <w:p>
            <w:r>
              <w:t>P07–P12</w:t>
            </w:r>
          </w:p>
        </w:tc>
      </w:tr>
      <w:tr>
        <w:tc>
          <w:tcPr>
            <w:tcW w:type="dxa" w:w="2045"/>
          </w:tcPr>
          <w:p>
            <w:r>
              <w:t>P07</w:t>
            </w:r>
          </w:p>
        </w:tc>
        <w:tc>
          <w:tcPr>
            <w:tcW w:type="dxa" w:w="2045"/>
          </w:tcPr>
          <w:p>
            <w:r>
              <w:t>Data Quality, Freshness &amp; Reconciliation</w:t>
            </w:r>
          </w:p>
        </w:tc>
        <w:tc>
          <w:tcPr>
            <w:tcW w:type="dxa" w:w="2045"/>
          </w:tcPr>
          <w:p>
            <w:r>
              <w:t>Detect missing, stale, malformed, contradictory and out-of-order data; expose quality state and reconciliation evidence.</w:t>
            </w:r>
          </w:p>
        </w:tc>
        <w:tc>
          <w:tcPr>
            <w:tcW w:type="dxa" w:w="2045"/>
          </w:tcPr>
          <w:p>
            <w:r>
              <w:t>P04–P06</w:t>
            </w:r>
          </w:p>
        </w:tc>
        <w:tc>
          <w:tcPr>
            <w:tcW w:type="dxa" w:w="2045"/>
          </w:tcPr>
          <w:p>
            <w:r>
              <w:t>P08–P15</w:t>
            </w:r>
          </w:p>
        </w:tc>
      </w:tr>
      <w:tr>
        <w:tc>
          <w:tcPr>
            <w:tcW w:type="dxa" w:w="2045"/>
          </w:tcPr>
          <w:p>
            <w:r>
              <w:t>P08</w:t>
            </w:r>
          </w:p>
        </w:tc>
        <w:tc>
          <w:tcPr>
            <w:tcW w:type="dxa" w:w="2045"/>
          </w:tcPr>
          <w:p>
            <w:r>
              <w:t>Historical / Point-in-Time &amp; Corporate Actions</w:t>
            </w:r>
          </w:p>
        </w:tc>
        <w:tc>
          <w:tcPr>
            <w:tcW w:type="dxa" w:w="2045"/>
          </w:tcPr>
          <w:p>
            <w:r>
              <w:t>Support historical and PIT semantics, adjusted/unadjusted series, effective dates and corporate-action lineage.</w:t>
            </w:r>
          </w:p>
        </w:tc>
        <w:tc>
          <w:tcPr>
            <w:tcW w:type="dxa" w:w="2045"/>
          </w:tcPr>
          <w:p>
            <w:r>
              <w:t>P04–P07</w:t>
            </w:r>
          </w:p>
        </w:tc>
        <w:tc>
          <w:tcPr>
            <w:tcW w:type="dxa" w:w="2045"/>
          </w:tcPr>
          <w:p>
            <w:r>
              <w:t>P09–P15</w:t>
            </w:r>
          </w:p>
        </w:tc>
      </w:tr>
      <w:tr>
        <w:tc>
          <w:tcPr>
            <w:tcW w:type="dxa" w:w="2045"/>
          </w:tcPr>
          <w:p>
            <w:r>
              <w:t>P09</w:t>
            </w:r>
          </w:p>
        </w:tc>
        <w:tc>
          <w:tcPr>
            <w:tcW w:type="dxa" w:w="2045"/>
          </w:tcPr>
          <w:p>
            <w:r>
              <w:t>Fundamentals &amp; Financial Intelligence</w:t>
            </w:r>
          </w:p>
        </w:tc>
        <w:tc>
          <w:tcPr>
            <w:tcW w:type="dxa" w:w="2045"/>
          </w:tcPr>
          <w:p>
            <w:r>
              <w:t>Ingest and normalize financial statements, ratios, valuation inputs and related fundamental datasets.</w:t>
            </w:r>
          </w:p>
        </w:tc>
        <w:tc>
          <w:tcPr>
            <w:tcW w:type="dxa" w:w="2045"/>
          </w:tcPr>
          <w:p>
            <w:r>
              <w:t>P04–P08</w:t>
            </w:r>
          </w:p>
        </w:tc>
        <w:tc>
          <w:tcPr>
            <w:tcW w:type="dxa" w:w="2045"/>
          </w:tcPr>
          <w:p>
            <w:r>
              <w:t>P10–P15</w:t>
            </w:r>
          </w:p>
        </w:tc>
      </w:tr>
      <w:tr>
        <w:tc>
          <w:tcPr>
            <w:tcW w:type="dxa" w:w="2045"/>
          </w:tcPr>
          <w:p>
            <w:r>
              <w:t>P10</w:t>
            </w:r>
          </w:p>
        </w:tc>
        <w:tc>
          <w:tcPr>
            <w:tcW w:type="dxa" w:w="2045"/>
          </w:tcPr>
          <w:p>
            <w:r>
              <w:t>News, Events, Estimates &amp; Macro/Alternative Data</w:t>
            </w:r>
          </w:p>
        </w:tc>
        <w:tc>
          <w:tcPr>
            <w:tcW w:type="dxa" w:w="2045"/>
          </w:tcPr>
          <w:p>
            <w:r>
              <w:t>Establish governed ingestion for news/events, consensus estimates, macro and approved alternative datasets.</w:t>
            </w:r>
          </w:p>
        </w:tc>
        <w:tc>
          <w:tcPr>
            <w:tcW w:type="dxa" w:w="2045"/>
          </w:tcPr>
          <w:p>
            <w:r>
              <w:t>P04–P08</w:t>
            </w:r>
          </w:p>
        </w:tc>
        <w:tc>
          <w:tcPr>
            <w:tcW w:type="dxa" w:w="2045"/>
          </w:tcPr>
          <w:p>
            <w:r>
              <w:t>P11–P15</w:t>
            </w:r>
          </w:p>
        </w:tc>
      </w:tr>
      <w:tr>
        <w:tc>
          <w:tcPr>
            <w:tcW w:type="dxa" w:w="2045"/>
          </w:tcPr>
          <w:p>
            <w:r>
              <w:t>P11</w:t>
            </w:r>
          </w:p>
        </w:tc>
        <w:tc>
          <w:tcPr>
            <w:tcW w:type="dxa" w:w="2045"/>
          </w:tcPr>
          <w:p>
            <w:r>
              <w:t>Engine / Research / Evidence Integration</w:t>
            </w:r>
          </w:p>
        </w:tc>
        <w:tc>
          <w:tcPr>
            <w:tcW w:type="dxa" w:w="2045"/>
          </w:tcPr>
          <w:p>
            <w:r>
              <w:t>Connect canonical data to existing engines and research flows with provenance, reproducibility and evidence lineage.</w:t>
            </w:r>
          </w:p>
        </w:tc>
        <w:tc>
          <w:tcPr>
            <w:tcW w:type="dxa" w:w="2045"/>
          </w:tcPr>
          <w:p>
            <w:r>
              <w:t>P06–P10</w:t>
            </w:r>
          </w:p>
        </w:tc>
        <w:tc>
          <w:tcPr>
            <w:tcW w:type="dxa" w:w="2045"/>
          </w:tcPr>
          <w:p>
            <w:r>
              <w:t>P12–P15</w:t>
            </w:r>
          </w:p>
        </w:tc>
      </w:tr>
      <w:tr>
        <w:tc>
          <w:tcPr>
            <w:tcW w:type="dxa" w:w="2045"/>
          </w:tcPr>
          <w:p>
            <w:r>
              <w:t>P12</w:t>
            </w:r>
          </w:p>
        </w:tc>
        <w:tc>
          <w:tcPr>
            <w:tcW w:type="dxa" w:w="2045"/>
          </w:tcPr>
          <w:p>
            <w:r>
              <w:t>Certified Data APIs / G2 Product Contracts</w:t>
            </w:r>
          </w:p>
        </w:tc>
        <w:tc>
          <w:tcPr>
            <w:tcW w:type="dxa" w:w="2045"/>
          </w:tcPr>
          <w:p>
            <w:r>
              <w:t>Expose governed data through stable APIs/contracts with live, snapshot and PIT semantics.</w:t>
            </w:r>
          </w:p>
        </w:tc>
        <w:tc>
          <w:tcPr>
            <w:tcW w:type="dxa" w:w="2045"/>
          </w:tcPr>
          <w:p>
            <w:r>
              <w:t>P06–P11</w:t>
            </w:r>
          </w:p>
        </w:tc>
        <w:tc>
          <w:tcPr>
            <w:tcW w:type="dxa" w:w="2045"/>
          </w:tcPr>
          <w:p>
            <w:r>
              <w:t>P13–P15</w:t>
            </w:r>
          </w:p>
        </w:tc>
      </w:tr>
      <w:tr>
        <w:tc>
          <w:tcPr>
            <w:tcW w:type="dxa" w:w="2045"/>
          </w:tcPr>
          <w:p>
            <w:r>
              <w:t>P13</w:t>
            </w:r>
          </w:p>
        </w:tc>
        <w:tc>
          <w:tcPr>
            <w:tcW w:type="dxa" w:w="2045"/>
          </w:tcPr>
          <w:p>
            <w:r>
              <w:t>Product UI Data Integration</w:t>
            </w:r>
          </w:p>
        </w:tc>
        <w:tc>
          <w:tcPr>
            <w:tcW w:type="dxa" w:w="2045"/>
          </w:tcPr>
          <w:p>
            <w:r>
              <w:t>Make all applicable existing UI surfaces consume governed data; retain non-data surfaces as baseline where applicable.</w:t>
            </w:r>
          </w:p>
        </w:tc>
        <w:tc>
          <w:tcPr>
            <w:tcW w:type="dxa" w:w="2045"/>
          </w:tcPr>
          <w:p>
            <w:r>
              <w:t>P07–P12</w:t>
            </w:r>
          </w:p>
        </w:tc>
        <w:tc>
          <w:tcPr>
            <w:tcW w:type="dxa" w:w="2045"/>
          </w:tcPr>
          <w:p>
            <w:r>
              <w:t>P14,P15</w:t>
            </w:r>
          </w:p>
        </w:tc>
      </w:tr>
      <w:tr>
        <w:tc>
          <w:tcPr>
            <w:tcW w:type="dxa" w:w="2045"/>
          </w:tcPr>
          <w:p>
            <w:r>
              <w:t>P14</w:t>
            </w:r>
          </w:p>
        </w:tc>
        <w:tc>
          <w:tcPr>
            <w:tcW w:type="dxa" w:w="2045"/>
          </w:tcPr>
          <w:p>
            <w:r>
              <w:t>UX, Accessibility, Responsive &amp; Visual Parity</w:t>
            </w:r>
          </w:p>
        </w:tc>
        <w:tc>
          <w:tcPr>
            <w:tcW w:type="dxa" w:w="2045"/>
          </w:tcPr>
          <w:p>
            <w:r>
              <w:t>Harden UX and qualify against the supplied screenshot target, including browser/visual validation where environment permits.</w:t>
            </w:r>
          </w:p>
        </w:tc>
        <w:tc>
          <w:tcPr>
            <w:tcW w:type="dxa" w:w="2045"/>
          </w:tcPr>
          <w:p>
            <w:r>
              <w:t>P13</w:t>
            </w:r>
          </w:p>
        </w:tc>
        <w:tc>
          <w:tcPr>
            <w:tcW w:type="dxa" w:w="2045"/>
          </w:tcPr>
          <w:p>
            <w:r>
              <w:t>P15</w:t>
            </w:r>
          </w:p>
        </w:tc>
      </w:tr>
      <w:tr>
        <w:tc>
          <w:tcPr>
            <w:tcW w:type="dxa" w:w="2045"/>
          </w:tcPr>
          <w:p>
            <w:r>
              <w:t>P15</w:t>
            </w:r>
          </w:p>
        </w:tc>
        <w:tc>
          <w:tcPr>
            <w:tcW w:type="dxa" w:w="2045"/>
          </w:tcPr>
          <w:p>
            <w:r>
              <w:t>Full E2E Certification &amp; Functional Parity</w:t>
            </w:r>
          </w:p>
        </w:tc>
        <w:tc>
          <w:tcPr>
            <w:tcW w:type="dxa" w:w="2045"/>
          </w:tcPr>
          <w:p>
            <w:r>
              <w:t>Certify provider-to-UI data lineage, engine outputs, evidence, degraded states and screenshot functional parity.</w:t>
            </w:r>
          </w:p>
        </w:tc>
        <w:tc>
          <w:tcPr>
            <w:tcW w:type="dxa" w:w="2045"/>
          </w:tcPr>
          <w:p>
            <w:r>
              <w:t>P07–P14</w:t>
            </w:r>
          </w:p>
        </w:tc>
        <w:tc>
          <w:tcPr>
            <w:tcW w:type="dxa" w:w="2045"/>
          </w:tcPr>
          <w:p>
            <w:r>
              <w:t>P16,P17</w:t>
            </w:r>
          </w:p>
        </w:tc>
      </w:tr>
      <w:tr>
        <w:tc>
          <w:tcPr>
            <w:tcW w:type="dxa" w:w="2045"/>
          </w:tcPr>
          <w:p>
            <w:r>
              <w:t>P16</w:t>
            </w:r>
          </w:p>
        </w:tc>
        <w:tc>
          <w:tcPr>
            <w:tcW w:type="dxa" w:w="2045"/>
          </w:tcPr>
          <w:p>
            <w:r>
              <w:t>Production Provider Onboarding &amp; Activation</w:t>
            </w:r>
          </w:p>
        </w:tc>
        <w:tc>
          <w:tcPr>
            <w:tcW w:type="dxa" w:w="2045"/>
          </w:tcPr>
          <w:p>
            <w:r>
              <w:t>Complete licensing, credentials, production connectivity, entitlement validation and controlled activation.</w:t>
            </w:r>
          </w:p>
        </w:tc>
        <w:tc>
          <w:tcPr>
            <w:tcW w:type="dxa" w:w="2045"/>
          </w:tcPr>
          <w:p>
            <w:r>
              <w:t>P02,P03,P05,P07,P15</w:t>
            </w:r>
          </w:p>
        </w:tc>
        <w:tc>
          <w:tcPr>
            <w:tcW w:type="dxa" w:w="2045"/>
          </w:tcPr>
          <w:p>
            <w:r>
              <w:t>P17</w:t>
            </w:r>
          </w:p>
        </w:tc>
      </w:tr>
      <w:tr>
        <w:tc>
          <w:tcPr>
            <w:tcW w:type="dxa" w:w="2045"/>
          </w:tcPr>
          <w:p>
            <w:r>
              <w:t>P17</w:t>
            </w:r>
          </w:p>
        </w:tc>
        <w:tc>
          <w:tcPr>
            <w:tcW w:type="dxa" w:w="2045"/>
          </w:tcPr>
          <w:p>
            <w:r>
              <w:t>Operations, Monitoring &amp; Release Certification</w:t>
            </w:r>
          </w:p>
        </w:tc>
        <w:tc>
          <w:tcPr>
            <w:tcW w:type="dxa" w:w="2045"/>
          </w:tcPr>
          <w:p>
            <w:r>
              <w:t>Operationalize monitoring, incident handling, provider failover/staleness controls, release evidence and production certification.</w:t>
            </w:r>
          </w:p>
        </w:tc>
        <w:tc>
          <w:tcPr>
            <w:tcW w:type="dxa" w:w="2045"/>
          </w:tcPr>
          <w:p>
            <w:r>
              <w:t>P15,P16</w:t>
            </w:r>
          </w:p>
        </w:tc>
        <w:tc>
          <w:tcPr>
            <w:tcW w:type="dxa" w:w="2045"/>
          </w:tcPr>
          <w:p>
            <w:r>
              <w:t>None</w:t>
            </w:r>
          </w:p>
        </w:tc>
      </w:tr>
    </w:tbl>
    <w:p>
      <w:pPr>
        <w:pStyle w:val="Heading1"/>
      </w:pPr>
      <w:r>
        <w:t>7. Dependency Logic / Critical Path</w:t>
      </w:r>
    </w:p>
    <w:p>
      <w:r>
        <w:t>The sequence moves from governance and contracts to identity, acquisition, canonicalization, quality, historical/PIT semantics, intelligence datasets, engine/evidence integration, APIs, UI, visual/browser qualification, E2E certification, production activation and operations.</w:t>
      </w:r>
    </w:p>
    <w:p>
      <w:r>
        <w:t>Critical path: P00 → P01 → P02/P03 → P04 → P05 → P06 → P07 → P08 → P09/P10 → P11 → P12 → P13 → P14 → P15 → P16 → P17</w:t>
      </w:r>
    </w:p>
    <w:p>
      <w:pPr>
        <w:pStyle w:val="Heading1"/>
      </w:pPr>
      <w:r>
        <w:t>8. Phase Requirements &amp; Gate Intent</w:t>
      </w:r>
    </w:p>
    <w:p>
      <w:pPr>
        <w:pStyle w:val="Heading2"/>
      </w:pPr>
      <w:r>
        <w:t>P00 — Program Baseline &amp; Governance</w:t>
      </w:r>
    </w:p>
    <w:p>
      <w:r>
        <w:t>Establish scope, baseline, contracts, ownership, certification model and non-goals before implementation.</w:t>
      </w:r>
    </w:p>
    <w:p>
      <w:r>
        <w:t>Dependencies: None.</w:t>
      </w:r>
    </w:p>
    <w:p>
      <w:r>
        <w:t>Gate intent: Scope/authority baseline.</w:t>
      </w:r>
    </w:p>
    <w:p>
      <w:pPr>
        <w:pStyle w:val="Heading2"/>
      </w:pPr>
      <w:r>
        <w:t>P01 — Data Contract &amp; Canonical Domain Model</w:t>
      </w:r>
    </w:p>
    <w:p>
      <w:r>
        <w:t>Define canonical schemas, identifiers, timestamps, units, currencies, source/provenance and operating modes.</w:t>
      </w:r>
    </w:p>
    <w:p>
      <w:r>
        <w:t>Dependencies: P00.</w:t>
      </w:r>
    </w:p>
    <w:p>
      <w:r>
        <w:t>Gate intent: Canonical contract gate.</w:t>
      </w:r>
    </w:p>
    <w:p>
      <w:pPr>
        <w:pStyle w:val="Heading2"/>
      </w:pPr>
      <w:r>
        <w:t>P02 — Provider Abstraction &amp; Entitlement Model</w:t>
      </w:r>
    </w:p>
    <w:p>
      <w:r>
        <w:t>Create provider-neutral adapter contracts and explicit licensing/entitlement boundaries.</w:t>
      </w:r>
    </w:p>
    <w:p>
      <w:r>
        <w:t>Dependencies: P00,P01.</w:t>
      </w:r>
    </w:p>
    <w:p>
      <w:r>
        <w:t>Gate intent: Provider abstraction/entitlement gate.</w:t>
      </w:r>
    </w:p>
    <w:p>
      <w:pPr>
        <w:pStyle w:val="Heading2"/>
      </w:pPr>
      <w:r>
        <w:t>P03 — Secrets, Security &amp; Tenant Controls</w:t>
      </w:r>
    </w:p>
    <w:p>
      <w:r>
        <w:t>Secure provider credentials, service identities, tenant isolation and access controls.</w:t>
      </w:r>
    </w:p>
    <w:p>
      <w:r>
        <w:t>Dependencies: P00,P02.</w:t>
      </w:r>
    </w:p>
    <w:p>
      <w:r>
        <w:t>Gate intent: Security gate.</w:t>
      </w:r>
    </w:p>
    <w:p>
      <w:pPr>
        <w:pStyle w:val="Heading2"/>
      </w:pPr>
      <w:r>
        <w:t>P04 — Instrument / Security Master</w:t>
      </w:r>
    </w:p>
    <w:p>
      <w:r>
        <w:t>Establish authoritative instrument identity, mappings, listings, exchanges, currencies and lifecycle state.</w:t>
      </w:r>
    </w:p>
    <w:p>
      <w:r>
        <w:t>Dependencies: P01,P02,P03.</w:t>
      </w:r>
    </w:p>
    <w:p>
      <w:r>
        <w:t>Gate intent: Identity/master gate.</w:t>
      </w:r>
    </w:p>
    <w:p>
      <w:pPr>
        <w:pStyle w:val="Heading2"/>
      </w:pPr>
      <w:r>
        <w:t>P05 — Market Data Acquisition &amp; Ingestion</w:t>
      </w:r>
    </w:p>
    <w:p>
      <w:r>
        <w:t>Implement deterministic/local ingestion first, then provider adapters for quotes, prices and historical market data.</w:t>
      </w:r>
    </w:p>
    <w:p>
      <w:r>
        <w:t>Dependencies: P01–P04.</w:t>
      </w:r>
    </w:p>
    <w:p>
      <w:r>
        <w:t>Gate intent: Acquisition gate.</w:t>
      </w:r>
    </w:p>
    <w:p>
      <w:pPr>
        <w:pStyle w:val="Heading2"/>
      </w:pPr>
      <w:r>
        <w:t>P06 — Normalization &amp; Canonical Data Pipeline</w:t>
      </w:r>
    </w:p>
    <w:p>
      <w:r>
        <w:t>Normalize provider-specific payloads into governed canonical representations without feeding raw provider data directly to engines.</w:t>
      </w:r>
    </w:p>
    <w:p>
      <w:r>
        <w:t>Dependencies: P01,P04,P05.</w:t>
      </w:r>
    </w:p>
    <w:p>
      <w:r>
        <w:t>Gate intent: Canonical pipeline gate.</w:t>
      </w:r>
    </w:p>
    <w:p>
      <w:pPr>
        <w:pStyle w:val="Heading2"/>
      </w:pPr>
      <w:r>
        <w:t>P07 — Data Quality, Freshness &amp; Reconciliation</w:t>
      </w:r>
    </w:p>
    <w:p>
      <w:r>
        <w:t>Detect missing, stale, malformed, contradictory and out-of-order data; expose quality state and reconciliation evidence.</w:t>
      </w:r>
    </w:p>
    <w:p>
      <w:r>
        <w:t>Dependencies: P04–P06.</w:t>
      </w:r>
    </w:p>
    <w:p>
      <w:r>
        <w:t>Gate intent: Data quality gate.</w:t>
      </w:r>
    </w:p>
    <w:p>
      <w:pPr>
        <w:pStyle w:val="Heading2"/>
      </w:pPr>
      <w:r>
        <w:t>P08 — Historical / Point-in-Time &amp; Corporate Actions</w:t>
      </w:r>
    </w:p>
    <w:p>
      <w:r>
        <w:t>Support historical and PIT semantics, adjusted/unadjusted series, effective dates and corporate-action lineage.</w:t>
      </w:r>
    </w:p>
    <w:p>
      <w:r>
        <w:t>Dependencies: P04–P07.</w:t>
      </w:r>
    </w:p>
    <w:p>
      <w:r>
        <w:t>Gate intent: Historical/PIT gate.</w:t>
      </w:r>
    </w:p>
    <w:p>
      <w:pPr>
        <w:pStyle w:val="Heading2"/>
      </w:pPr>
      <w:r>
        <w:t>P09 — Fundamentals &amp; Financial Intelligence</w:t>
      </w:r>
    </w:p>
    <w:p>
      <w:r>
        <w:t>Ingest and normalize financial statements, ratios, valuation inputs and related fundamental datasets.</w:t>
      </w:r>
    </w:p>
    <w:p>
      <w:r>
        <w:t>Dependencies: P04–P08.</w:t>
      </w:r>
    </w:p>
    <w:p>
      <w:r>
        <w:t>Gate intent: Fundamentals gate.</w:t>
      </w:r>
    </w:p>
    <w:p>
      <w:pPr>
        <w:pStyle w:val="Heading2"/>
      </w:pPr>
      <w:r>
        <w:t>P10 — News, Events, Estimates &amp; Macro/Alternative Data</w:t>
      </w:r>
    </w:p>
    <w:p>
      <w:r>
        <w:t>Establish governed ingestion for news/events, consensus estimates, macro and approved alternative datasets.</w:t>
      </w:r>
    </w:p>
    <w:p>
      <w:r>
        <w:t>Dependencies: P04–P08.</w:t>
      </w:r>
    </w:p>
    <w:p>
      <w:r>
        <w:t>Gate intent: Intelligence data gate.</w:t>
      </w:r>
    </w:p>
    <w:p>
      <w:pPr>
        <w:pStyle w:val="Heading2"/>
      </w:pPr>
      <w:r>
        <w:t>P11 — Engine / Research / Evidence Integration</w:t>
      </w:r>
    </w:p>
    <w:p>
      <w:r>
        <w:t>Connect canonical data to existing engines and research flows with provenance, reproducibility and evidence lineage.</w:t>
      </w:r>
    </w:p>
    <w:p>
      <w:r>
        <w:t>Dependencies: P06–P10.</w:t>
      </w:r>
    </w:p>
    <w:p>
      <w:r>
        <w:t>Gate intent: Engine/evidence gate.</w:t>
      </w:r>
    </w:p>
    <w:p>
      <w:pPr>
        <w:pStyle w:val="Heading2"/>
      </w:pPr>
      <w:r>
        <w:t>P12 — Certified Data APIs / G2 Product Contracts</w:t>
      </w:r>
    </w:p>
    <w:p>
      <w:r>
        <w:t>Expose governed data through stable APIs/contracts with live, snapshot and PIT semantics.</w:t>
      </w:r>
    </w:p>
    <w:p>
      <w:r>
        <w:t>Dependencies: P06–P11.</w:t>
      </w:r>
    </w:p>
    <w:p>
      <w:r>
        <w:t>Gate intent: API/G2 gate.</w:t>
      </w:r>
    </w:p>
    <w:p>
      <w:pPr>
        <w:pStyle w:val="Heading2"/>
      </w:pPr>
      <w:r>
        <w:t>P13 — Product UI Data Integration</w:t>
      </w:r>
    </w:p>
    <w:p>
      <w:r>
        <w:t>Make all applicable existing UI surfaces consume governed data; retain non-data surfaces as baseline where applicable.</w:t>
      </w:r>
    </w:p>
    <w:p>
      <w:r>
        <w:t>Dependencies: P07–P12.</w:t>
      </w:r>
    </w:p>
    <w:p>
      <w:r>
        <w:t>Gate intent: UI integration gate.</w:t>
      </w:r>
    </w:p>
    <w:p>
      <w:r>
        <w:t>All existing IIPS UI surfaces remain in scope; market-data applicability is marked per work item.</w:t>
      </w:r>
    </w:p>
    <w:p>
      <w:pPr>
        <w:pStyle w:val="Heading2"/>
      </w:pPr>
      <w:r>
        <w:t>P14 — UX, Accessibility, Responsive &amp; Visual Parity</w:t>
      </w:r>
    </w:p>
    <w:p>
      <w:r>
        <w:t>Harden UX and qualify against the supplied screenshot target, including browser/visual validation where environment permits.</w:t>
      </w:r>
    </w:p>
    <w:p>
      <w:r>
        <w:t>Dependencies: P13.</w:t>
      </w:r>
    </w:p>
    <w:p>
      <w:r>
        <w:t>Gate intent: UX/visual/browser gate.</w:t>
      </w:r>
    </w:p>
    <w:p>
      <w:r>
        <w:t>The supplied screenshot is a functional parity reference. Real governed data and real interactions are required behind certified UI.</w:t>
      </w:r>
    </w:p>
    <w:p>
      <w:pPr>
        <w:pStyle w:val="Heading2"/>
      </w:pPr>
      <w:r>
        <w:t>P15 — Full E2E Certification &amp; Functional Parity</w:t>
      </w:r>
    </w:p>
    <w:p>
      <w:r>
        <w:t>Certify provider-to-UI data lineage, engine outputs, evidence, degraded states and screenshot functional parity.</w:t>
      </w:r>
    </w:p>
    <w:p>
      <w:r>
        <w:t>Dependencies: P07–P14.</w:t>
      </w:r>
    </w:p>
    <w:p>
      <w:r>
        <w:t>Gate intent: Full E2E certification gate.</w:t>
      </w:r>
    </w:p>
    <w:p>
      <w:r>
        <w:t>Representative chain: provider datum → canonical record → quality state → engine/derived result → evidence/provenance → API/G2 → UI → interaction.</w:t>
      </w:r>
    </w:p>
    <w:p>
      <w:pPr>
        <w:pStyle w:val="Heading2"/>
      </w:pPr>
      <w:r>
        <w:t>P16 — Production Provider Onboarding &amp; Activation</w:t>
      </w:r>
    </w:p>
    <w:p>
      <w:r>
        <w:t>Complete licensing, credentials, production connectivity, entitlement validation and controlled activation.</w:t>
      </w:r>
    </w:p>
    <w:p>
      <w:r>
        <w:t>Dependencies: P02,P03,P05,P07,P15.</w:t>
      </w:r>
    </w:p>
    <w:p>
      <w:r>
        <w:t>Gate intent: Production activation authority gate.</w:t>
      </w:r>
    </w:p>
    <w:p>
      <w:pPr>
        <w:pStyle w:val="Heading2"/>
      </w:pPr>
      <w:r>
        <w:t>P17 — Operations, Monitoring &amp; Release Certification</w:t>
      </w:r>
    </w:p>
    <w:p>
      <w:r>
        <w:t>Operationalize monitoring, incident handling, provider failover/staleness controls, release evidence and production certification.</w:t>
      </w:r>
    </w:p>
    <w:p>
      <w:r>
        <w:t>Dependencies: P15,P16.</w:t>
      </w:r>
    </w:p>
    <w:p>
      <w:r>
        <w:t>Gate intent: Operational/release certification gate.</w:t>
      </w:r>
    </w:p>
    <w:p>
      <w:pPr>
        <w:pStyle w:val="Heading1"/>
      </w:pPr>
      <w:r>
        <w:t>9. Core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</w:tr>
      <w:tr>
        <w:tc>
          <w:tcPr>
            <w:tcW w:type="dxa" w:w="3408"/>
          </w:tcPr>
          <w:p>
            <w:r>
              <w:t>NFR-01</w:t>
            </w:r>
          </w:p>
        </w:tc>
        <w:tc>
          <w:tcPr>
            <w:tcW w:type="dxa" w:w="3408"/>
          </w:tcPr>
          <w:p>
            <w:r>
              <w:t>Provenance</w:t>
            </w:r>
          </w:p>
        </w:tc>
        <w:tc>
          <w:tcPr>
            <w:tcW w:type="dxa" w:w="3408"/>
          </w:tcPr>
          <w:p>
            <w:r>
              <w:t>Every governed datum and derived result retains source/provider, dataset/version where applicable, timestamps/as-of and lineage.</w:t>
            </w:r>
          </w:p>
        </w:tc>
      </w:tr>
      <w:tr>
        <w:tc>
          <w:tcPr>
            <w:tcW w:type="dxa" w:w="3408"/>
          </w:tcPr>
          <w:p>
            <w:r>
              <w:t>NFR-02</w:t>
            </w:r>
          </w:p>
        </w:tc>
        <w:tc>
          <w:tcPr>
            <w:tcW w:type="dxa" w:w="3408"/>
          </w:tcPr>
          <w:p>
            <w:r>
              <w:t>Reproducibility</w:t>
            </w:r>
          </w:p>
        </w:tc>
        <w:tc>
          <w:tcPr>
            <w:tcW w:type="dxa" w:w="3408"/>
          </w:tcPr>
          <w:p>
            <w:r>
              <w:t>SNAPSHOT and PIT results are replayable and deterministic within the certified contract.</w:t>
            </w:r>
          </w:p>
        </w:tc>
      </w:tr>
      <w:tr>
        <w:tc>
          <w:tcPr>
            <w:tcW w:type="dxa" w:w="3408"/>
          </w:tcPr>
          <w:p>
            <w:r>
              <w:t>NFR-03</w:t>
            </w:r>
          </w:p>
        </w:tc>
        <w:tc>
          <w:tcPr>
            <w:tcW w:type="dxa" w:w="3408"/>
          </w:tcPr>
          <w:p>
            <w:r>
              <w:t>Freshness</w:t>
            </w:r>
          </w:p>
        </w:tc>
        <w:tc>
          <w:tcPr>
            <w:tcW w:type="dxa" w:w="3408"/>
          </w:tcPr>
          <w:p>
            <w:r>
              <w:t>LIVE consumers receive explicit freshness/staleness state; stale data never silently appears current.</w:t>
            </w:r>
          </w:p>
        </w:tc>
      </w:tr>
      <w:tr>
        <w:tc>
          <w:tcPr>
            <w:tcW w:type="dxa" w:w="3408"/>
          </w:tcPr>
          <w:p>
            <w:r>
              <w:t>NFR-04</w:t>
            </w:r>
          </w:p>
        </w:tc>
        <w:tc>
          <w:tcPr>
            <w:tcW w:type="dxa" w:w="3408"/>
          </w:tcPr>
          <w:p>
            <w:r>
              <w:t>Quality</w:t>
            </w:r>
          </w:p>
        </w:tc>
        <w:tc>
          <w:tcPr>
            <w:tcW w:type="dxa" w:w="3408"/>
          </w:tcPr>
          <w:p>
            <w:r>
              <w:t>Invalid, incomplete, contradictory or unavailable data is classified and propagated, not silently coerced.</w:t>
            </w:r>
          </w:p>
        </w:tc>
      </w:tr>
      <w:tr>
        <w:tc>
          <w:tcPr>
            <w:tcW w:type="dxa" w:w="3408"/>
          </w:tcPr>
          <w:p>
            <w:r>
              <w:t>NFR-05</w:t>
            </w:r>
          </w:p>
        </w:tc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Provider secrets never appear in source, fixtures, logs or client bundles; tenant/role boundaries hold end-to-end.</w:t>
            </w:r>
          </w:p>
        </w:tc>
      </w:tr>
      <w:tr>
        <w:tc>
          <w:tcPr>
            <w:tcW w:type="dxa" w:w="3408"/>
          </w:tcPr>
          <w:p>
            <w:r>
              <w:t>NFR-06</w:t>
            </w:r>
          </w:p>
        </w:tc>
        <w:tc>
          <w:tcPr>
            <w:tcW w:type="dxa" w:w="3408"/>
          </w:tcPr>
          <w:p>
            <w:r>
              <w:t>Provider neutrality</w:t>
            </w:r>
          </w:p>
        </w:tc>
        <w:tc>
          <w:tcPr>
            <w:tcW w:type="dxa" w:w="3408"/>
          </w:tcPr>
          <w:p>
            <w:r>
              <w:t>Provider adapters are replaceable behind stable contracts.</w:t>
            </w:r>
          </w:p>
        </w:tc>
      </w:tr>
      <w:tr>
        <w:tc>
          <w:tcPr>
            <w:tcW w:type="dxa" w:w="3408"/>
          </w:tcPr>
          <w:p>
            <w:r>
              <w:t>NFR-07</w:t>
            </w:r>
          </w:p>
        </w:tc>
        <w:tc>
          <w:tcPr>
            <w:tcW w:type="dxa" w:w="3408"/>
          </w:tcPr>
          <w:p>
            <w:r>
              <w:t>Auditability</w:t>
            </w:r>
          </w:p>
        </w:tc>
        <w:tc>
          <w:tcPr>
            <w:tcW w:type="dxa" w:w="3408"/>
          </w:tcPr>
          <w:p>
            <w:r>
              <w:t>Ingestion, reconciliation, transformation, recalculation and activation produce auditable evidence.</w:t>
            </w:r>
          </w:p>
        </w:tc>
      </w:tr>
      <w:tr>
        <w:tc>
          <w:tcPr>
            <w:tcW w:type="dxa" w:w="3408"/>
          </w:tcPr>
          <w:p>
            <w:r>
              <w:t>NFR-08</w:t>
            </w:r>
          </w:p>
        </w:tc>
        <w:tc>
          <w:tcPr>
            <w:tcW w:type="dxa" w:w="3408"/>
          </w:tcPr>
          <w:p>
            <w:r>
              <w:t>UI integrity</w:t>
            </w:r>
          </w:p>
        </w:tc>
        <w:tc>
          <w:tcPr>
            <w:tcW w:type="dxa" w:w="3408"/>
          </w:tcPr>
          <w:p>
            <w:r>
              <w:t>Certified UI metrics originate from governed backend sources and are reproducible.</w:t>
            </w:r>
          </w:p>
        </w:tc>
      </w:tr>
      <w:tr>
        <w:tc>
          <w:tcPr>
            <w:tcW w:type="dxa" w:w="3408"/>
          </w:tcPr>
          <w:p>
            <w:r>
              <w:t>NFR-09</w:t>
            </w:r>
          </w:p>
        </w:tc>
        <w:tc>
          <w:tcPr>
            <w:tcW w:type="dxa" w:w="3408"/>
          </w:tcPr>
          <w:p>
            <w:r>
              <w:t>Degraded operation</w:t>
            </w:r>
          </w:p>
        </w:tc>
        <w:tc>
          <w:tcPr>
            <w:tcW w:type="dxa" w:w="3408"/>
          </w:tcPr>
          <w:p>
            <w:r>
              <w:t>Provider outage, stale feed and partial dataset conditions have explicit backend/UI behavior.</w:t>
            </w:r>
          </w:p>
        </w:tc>
      </w:tr>
      <w:tr>
        <w:tc>
          <w:tcPr>
            <w:tcW w:type="dxa" w:w="3408"/>
          </w:tcPr>
          <w:p>
            <w:r>
              <w:t>NFR-10</w:t>
            </w:r>
          </w:p>
        </w:tc>
        <w:tc>
          <w:tcPr>
            <w:tcW w:type="dxa" w:w="3408"/>
          </w:tcPr>
          <w:p>
            <w:r>
              <w:t>Release safety</w:t>
            </w:r>
          </w:p>
        </w:tc>
        <w:tc>
          <w:tcPr>
            <w:tcW w:type="dxa" w:w="3408"/>
          </w:tcPr>
          <w:p>
            <w:r>
              <w:t>Production activation is separately authorized and reversible; certification does not automatically authorize production.</w:t>
            </w:r>
          </w:p>
        </w:tc>
      </w:tr>
    </w:tbl>
    <w:p>
      <w:pPr>
        <w:pStyle w:val="Heading1"/>
      </w:pPr>
      <w:r>
        <w:t>10. Screenshot Functional-Parity Acceptance</w:t>
      </w:r>
    </w:p>
    <w:p>
      <w:pPr>
        <w:pStyle w:val="ListBullet"/>
      </w:pPr>
      <w:r>
        <w:t>Every displayed number must originate from a governed backend source and be reproducible.</w:t>
      </w:r>
    </w:p>
    <w:p>
      <w:pPr>
        <w:pStyle w:val="ListBullet"/>
      </w:pPr>
      <w:r>
        <w:t>Top Portfolio Movers must navigate to the corresponding real Company Workspace object.</w:t>
      </w:r>
    </w:p>
    <w:p>
      <w:pPr>
        <w:pStyle w:val="ListBullet"/>
      </w:pPr>
      <w:r>
        <w:t>IIPS Score Distribution interactions must act on real holdings/results.</w:t>
      </w:r>
    </w:p>
    <w:p>
      <w:pPr>
        <w:pStyle w:val="ListBullet"/>
      </w:pPr>
      <w:r>
        <w:t>Research items must open actual research objects with provenance.</w:t>
      </w:r>
    </w:p>
    <w:p>
      <w:pPr>
        <w:pStyle w:val="ListBullet"/>
      </w:pPr>
      <w:r>
        <w:t>Alerts must open the actual alert and underlying evidence.</w:t>
      </w:r>
    </w:p>
    <w:p>
      <w:pPr>
        <w:pStyle w:val="ListBullet"/>
      </w:pPr>
      <w:r>
        <w:t>Decision items must open the governed decision workflow.</w:t>
      </w:r>
    </w:p>
    <w:p>
      <w:pPr>
        <w:pStyle w:val="ListBullet"/>
      </w:pPr>
      <w:r>
        <w:t>Loading, empty, stale, unavailable and error states must reflect backend data-state contracts.</w:t>
      </w:r>
    </w:p>
    <w:p>
      <w:pPr>
        <w:pStyle w:val="ListBullet"/>
      </w:pPr>
      <w:r>
        <w:t>Visual qualification must record browser/environment concessions rather than silently declaring parity.</w:t>
      </w:r>
    </w:p>
    <w:p>
      <w:pPr>
        <w:pStyle w:val="Heading1"/>
      </w:pPr>
      <w:r>
        <w:t>11. Development Strategy</w:t>
      </w:r>
    </w:p>
    <w:p>
      <w:pPr>
        <w:pStyle w:val="ListBullet"/>
      </w:pPr>
      <w:r>
        <w:t>Use deterministic/local provider fixtures first so early development is not blocked by production credentials or licensing.</w:t>
      </w:r>
    </w:p>
    <w:p>
      <w:pPr>
        <w:pStyle w:val="ListBullet"/>
      </w:pPr>
      <w:r>
        <w:t>Keep raw provider payloads separate from canonical governed data.</w:t>
      </w:r>
    </w:p>
    <w:p>
      <w:pPr>
        <w:pStyle w:val="ListBullet"/>
      </w:pPr>
      <w:r>
        <w:t>Do not feed raw provider data directly into engines or UI.</w:t>
      </w:r>
    </w:p>
    <w:p>
      <w:pPr>
        <w:pStyle w:val="ListBullet"/>
      </w:pPr>
      <w:r>
        <w:t>Use provider-neutral adapters so providers can be replaced without changing canonical consumers.</w:t>
      </w:r>
    </w:p>
    <w:p>
      <w:pPr>
        <w:pStyle w:val="ListBullet"/>
      </w:pPr>
      <w:r>
        <w:t>Certify each major phase before treating its outputs as certified dependencies.</w:t>
      </w:r>
    </w:p>
    <w:p>
      <w:pPr>
        <w:pStyle w:val="ListBullet"/>
      </w:pPr>
      <w:r>
        <w:t>Treat production licensing, credentials and activation as later explicit gates.</w:t>
      </w:r>
    </w:p>
    <w:p>
      <w:pPr>
        <w:pStyle w:val="ListBullet"/>
      </w:pPr>
      <w:r>
        <w:t>Build underlying analytical domains before the executive dashboard; the dashboard is the last-mile aggregation surface.</w:t>
      </w:r>
    </w:p>
    <w:p>
      <w:pPr>
        <w:pStyle w:val="Heading1"/>
      </w:pPr>
      <w:r>
        <w:t>12. Excel Tracker</w:t>
      </w:r>
    </w:p>
    <w:p>
      <w:r>
        <w:t>The companion workbook contains the phase roadmap, detailed work-item register, dependency matrix, UI coverage matrix, data-domain matrix, phase-gate register and status legend. All work items are initialized to NOT STARTED.</w:t>
      </w:r>
    </w:p>
    <w:p>
      <w:pPr>
        <w:pStyle w:val="Heading1"/>
      </w:pPr>
      <w:r>
        <w:t>13. Authority / Status</w:t>
      </w:r>
    </w:p>
    <w:p>
      <w:r>
        <w:t>This specification is the proposed master development sequence for a new program. It does not reopen or alter completed IIPS E2E certifications. Implementation should begin only after the appropriate program authority establishes the next gate.</w:t>
      </w:r>
    </w:p>
    <w:p>
      <w:pPr>
        <w:pStyle w:val="Heading1"/>
      </w:pPr>
      <w:r>
        <w:t>14. Traceability to Existing Master Roadmap</w:t>
      </w:r>
    </w:p>
    <w:p>
      <w:r>
        <w:t>The structure preserves the existing roadmap's engine/product convergence framing and product-completion sequence. The earlier roadmap explicitly identifies Company Workspace, Portfolio, Research, Screener, Decision Center, Watchlists/Alerts, Reports, Collaboration, Search/Command Center, Dashboard, E2E integration, UX/visual parity and final certification as the path to the screenshot target.</w:t>
      </w:r>
    </w:p>
    <w:p>
      <w:r>
        <w:t>This specification adds the production data-plane prerequisites needed to make those surfaces operate on realistic, governed data rather than disconnected mock metrics.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