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Cardiometabolic Service Line Strategy Brief 2026</w:t>
      </w:r>
    </w:p>
    <w:p>
      <w:r>
        <w:t>Document ID: STRAT-2026 | Revision: 1 | Classification: Internal | Owner: Riverbend Health Strategy Office</w:t>
      </w:r>
    </w:p>
    <w:p>
      <w:pPr>
        <w:pStyle w:val="Heading1"/>
      </w:pPr>
      <w:r>
        <w:t>1. Heart Failure Program Position</w:t>
      </w:r>
    </w:p>
    <w:p>
      <w:r>
        <w:t>Riverbend Health admitted 2,230 heart failure patients in the last four quarters. The GDMT four-pillar rate at discharge is 41%, well below the 80% benchmark, and the 30-day readmission rate is 21.4% after a peak of 24.8%. Competitor St. Brendan Regional opened a dedicated HF titration clinic in 2025 and is recruiting for two industry trials.</w:t>
      </w:r>
    </w:p>
    <w:p>
      <w:r>
        <w:drawing>
          <wp:inline xmlns:a="http://schemas.openxmlformats.org/drawingml/2006/main" xmlns:pic="http://schemas.openxmlformats.org/drawingml/2006/picture">
            <wp:extent cx="54864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Partnership and Trial-Site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Partner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Next step</w:t>
            </w:r>
          </w:p>
        </w:tc>
      </w:tr>
      <w:tr>
        <w:tc>
          <w:tcPr>
            <w:tcW w:type="dxa" w:w="2160"/>
          </w:tcPr>
          <w:p>
            <w:r>
              <w:t>Cardiora Therapeutics</w:t>
            </w:r>
          </w:p>
        </w:tc>
        <w:tc>
          <w:tcPr>
            <w:tcW w:type="dxa" w:w="2160"/>
          </w:tcPr>
          <w:p>
            <w:r>
              <w:t>Site for SYN-HF-101 Phase 3 expansion</w:t>
            </w:r>
          </w:p>
        </w:tc>
        <w:tc>
          <w:tcPr>
            <w:tcW w:type="dxa" w:w="2160"/>
          </w:tcPr>
          <w:p>
            <w:r>
              <w:t>High - HF clinic volume</w:t>
            </w:r>
          </w:p>
        </w:tc>
        <w:tc>
          <w:tcPr>
            <w:tcW w:type="dxa" w:w="2160"/>
          </w:tcPr>
          <w:p>
            <w:r>
              <w:t>Feasibility call in Q4</w:t>
            </w:r>
          </w:p>
        </w:tc>
      </w:tr>
      <w:tr>
        <w:tc>
          <w:tcPr>
            <w:tcW w:type="dxa" w:w="2160"/>
          </w:tcPr>
          <w:p>
            <w:r>
              <w:t>Pentara Health AI</w:t>
            </w:r>
          </w:p>
        </w:tc>
        <w:tc>
          <w:tcPr>
            <w:tcW w:type="dxa" w:w="2160"/>
          </w:tcPr>
          <w:p>
            <w:r>
              <w:t>TitrateAI pilot to lift the GDMT rate</w:t>
            </w:r>
          </w:p>
        </w:tc>
        <w:tc>
          <w:tcPr>
            <w:tcW w:type="dxa" w:w="2160"/>
          </w:tcPr>
          <w:p>
            <w:r>
              <w:t>High - closes the 41% vs 80% gap</w:t>
            </w:r>
          </w:p>
        </w:tc>
        <w:tc>
          <w:tcPr>
            <w:tcW w:type="dxa" w:w="2160"/>
          </w:tcPr>
          <w:p>
            <w:r>
              <w:t>Data-sharing review</w:t>
            </w:r>
          </w:p>
        </w:tc>
      </w:tr>
      <w:tr>
        <w:tc>
          <w:tcPr>
            <w:tcW w:type="dxa" w:w="2160"/>
          </w:tcPr>
          <w:p>
            <w:r>
              <w:t>Meridian Cardio Devices</w:t>
            </w:r>
          </w:p>
        </w:tc>
        <w:tc>
          <w:tcPr>
            <w:tcW w:type="dxa" w:w="2160"/>
          </w:tcPr>
          <w:p>
            <w:r>
              <w:t>Remote monitoring program (MER-Sense)</w:t>
            </w:r>
          </w:p>
        </w:tc>
        <w:tc>
          <w:tcPr>
            <w:tcW w:type="dxa" w:w="2160"/>
          </w:tcPr>
          <w:p>
            <w:r>
              <w:t>Medium - needs device clinic staffing</w:t>
            </w:r>
          </w:p>
        </w:tc>
        <w:tc>
          <w:tcPr>
            <w:tcW w:type="dxa" w:w="2160"/>
          </w:tcPr>
          <w:p>
            <w:r>
              <w:t>Business case</w:t>
            </w:r>
          </w:p>
        </w:tc>
      </w:tr>
      <w:tr>
        <w:tc>
          <w:tcPr>
            <w:tcW w:type="dxa" w:w="2160"/>
          </w:tcPr>
          <w:p>
            <w:r>
              <w:t>Glycova Bio</w:t>
            </w:r>
          </w:p>
        </w:tc>
        <w:tc>
          <w:tcPr>
            <w:tcW w:type="dxa" w:w="2160"/>
          </w:tcPr>
          <w:p>
            <w:r>
              <w:t>Site for SYN-DM-208 outcomes study</w:t>
            </w:r>
          </w:p>
        </w:tc>
        <w:tc>
          <w:tcPr>
            <w:tcW w:type="dxa" w:w="2160"/>
          </w:tcPr>
          <w:p>
            <w:r>
              <w:t>Medium - large diabetes panel</w:t>
            </w:r>
          </w:p>
        </w:tc>
        <w:tc>
          <w:tcPr>
            <w:tcW w:type="dxa" w:w="2160"/>
          </w:tcPr>
          <w:p>
            <w:r>
              <w:t>Await site selection</w:t>
            </w:r>
          </w:p>
        </w:tc>
      </w:tr>
    </w:tbl>
    <w:p>
      <w:pPr>
        <w:pStyle w:val="Heading1"/>
      </w:pPr>
      <w:r>
        <w:t>3. Diabetes Program Position</w:t>
      </w:r>
    </w:p>
    <w:p>
      <w:r>
        <w:t>The primary-care diabetes panel is 38,400 adults; 58% have an A1C below 8%, short of the 70% target. CGM use outside insulin users is 12%. A remission pathway and pharmacist-led titration are the lowest-cost levers.</w:t>
      </w:r>
    </w:p>
    <w:p>
      <w:pPr>
        <w:pStyle w:val="Heading1"/>
      </w:pPr>
      <w:r>
        <w:t>4. Recommendations for Leadership</w:t>
      </w:r>
    </w:p>
    <w:p>
      <w:pPr>
        <w:pStyle w:val="ListBullet"/>
      </w:pPr>
      <w:r>
        <w:t>Fund a pharmacist-led GDMT titration clinic in FY27 (target four-pillar rate of 65% within 12 months).</w:t>
      </w:r>
    </w:p>
    <w:p>
      <w:pPr>
        <w:pStyle w:val="ListBullet"/>
      </w:pPr>
      <w:r>
        <w:t>Apply to be a site for two late-stage HF trials to strengthen academic positioning.</w:t>
      </w:r>
    </w:p>
    <w:p>
      <w:pPr>
        <w:pStyle w:val="ListBullet"/>
      </w:pPr>
      <w:r>
        <w:t>Pilot CGM-linked coaching for non-insulin patients with an A1C above 9%.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Cardiometabolic Service Line Strategy Brief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