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/>
          <w:b/>
          <w:color w:val="1B4F72"/>
          <w:sz w:val="44"/>
        </w:rPr>
        <w:t>RAM KUMAR RANI</w:t>
      </w:r>
    </w:p>
    <w:p>
      <w:pPr>
        <w:spacing w:before="0" w:after="40"/>
        <w:jc w:val="center"/>
      </w:pPr>
      <w:r>
        <w:rPr>
          <w:rFonts w:ascii="Calibri" w:hAnsi="Calibri"/>
          <w:color w:val="555555"/>
          <w:sz w:val="20"/>
        </w:rPr>
        <w:t>New York, NY  |  linkedin.com/in/ramkumarrani  |  Available Immediately</w:t>
      </w:r>
    </w:p>
    <w:p>
      <w:pPr>
        <w:spacing w:before="40" w:after="40"/>
        <w:pBdr>
          <w:bottom w:val="single" w:sz="6" w:space="1" w:color="1B4F72"/>
        </w:pBdr>
      </w:pPr>
    </w:p>
    <w:p>
      <w:pPr>
        <w:spacing w:before="80" w:after="60"/>
      </w:pPr>
      <w:r>
        <w:rPr>
          <w:rFonts w:ascii="Calibri" w:hAnsi="Calibri"/>
          <w:b/>
          <w:color w:val="1B4F72"/>
          <w:sz w:val="24"/>
        </w:rPr>
        <w:t>EXECUTIVE SUMMARY</w:t>
      </w:r>
    </w:p>
    <w:p>
      <w:pPr>
        <w:spacing w:before="40" w:after="80"/>
      </w:pPr>
      <w:r>
        <w:rPr>
          <w:rFonts w:ascii="Calibri" w:hAnsi="Calibri"/>
          <w:color w:val="2D2D2D"/>
          <w:sz w:val="20"/>
        </w:rPr>
        <w:t>Results-driven AI &amp; Data executive with 15+ years of progressive leadership in enterprise AI strategy, Agentic AI product development, and data-driven transformation across financial services, advisory, and regulated industries. Currently leading KPMG Advisory's AI and Data practice, orchestrating AI-first strategies that have driven 40%+ AI adoption improvements, generated $10M+ in client revenue, and delivered 20–25% cost efficiencies at scale. Deep hands-on expertise in Generative AI, Agentic AI, LLMOps, AI Governance, and Azure Data services. Proven ability to build high-performing global teams (20+ members), establish C-Suite partnerships, and transition rapid prototypes into production-grade, cloud-agnostic AI products. Seeking a Director or Senior Director role in Financial Services to accelerate enterprise AI transformation and measurable business outcomes.</w:t>
      </w:r>
    </w:p>
    <w:p>
      <w:pPr>
        <w:spacing w:before="40" w:after="40"/>
        <w:pBdr>
          <w:bottom w:val="single" w:sz="6" w:space="1" w:color="1B4F72"/>
        </w:pBdr>
      </w:pPr>
    </w:p>
    <w:p>
      <w:pPr>
        <w:spacing w:before="80" w:after="60"/>
      </w:pPr>
      <w:r>
        <w:rPr>
          <w:rFonts w:ascii="Calibri" w:hAnsi="Calibri"/>
          <w:b/>
          <w:color w:val="1B4F72"/>
          <w:sz w:val="24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AI/GenAI/Agentic AI Strategy &amp; Roadmap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Enterprise LLMOps &amp; MLOps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C-Suite Advisory &amp; Stakeholder Mgmt.</w:t>
            </w:r>
          </w:p>
        </w:tc>
      </w:tr>
      <w:tr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AI Governance (EU AI Act, NIST AI RMF)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Azure AI Foundry &amp; Data Engineering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Product Development (0 → 1 → Scale)</w:t>
            </w:r>
          </w:p>
        </w:tc>
      </w:tr>
      <w:tr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RAG, LLM, VLM &amp; Embedding Models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Cost Optimization &amp; Token Mgmt.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Cross-Functional Team Leadership (20+)</w:t>
            </w:r>
          </w:p>
        </w:tc>
      </w:tr>
      <w:tr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Rapid Prototyping &amp; POC-to-Production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Risk Management &amp; Compliance</w:t>
            </w:r>
          </w:p>
        </w:tc>
        <w:tc>
          <w:tcPr>
            <w:tcW w:type="dxa" w:w="34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1B4F72"/>
                <w:sz w:val="19"/>
              </w:rPr>
              <w:t xml:space="preserve">  ■  Financial Services Domain Expertise</w:t>
            </w:r>
          </w:p>
        </w:tc>
      </w:tr>
    </w:tbl>
    <w:p>
      <w:pPr>
        <w:spacing w:before="40" w:after="40"/>
        <w:pBdr>
          <w:bottom w:val="single" w:sz="6" w:space="1" w:color="1B4F72"/>
        </w:pBdr>
      </w:pPr>
    </w:p>
    <w:p>
      <w:pPr>
        <w:spacing w:before="80" w:after="60"/>
      </w:pPr>
      <w:r>
        <w:rPr>
          <w:rFonts w:ascii="Calibri" w:hAnsi="Calibri"/>
          <w:b/>
          <w:color w:val="1B4F72"/>
          <w:sz w:val="24"/>
        </w:rPr>
        <w:t>PROFESSIONAL EXPERIENCE</w:t>
      </w:r>
    </w:p>
    <w:p>
      <w:pPr>
        <w:spacing w:before="80" w:after="0"/>
      </w:pPr>
      <w:r>
        <w:rPr>
          <w:rFonts w:ascii="Calibri" w:hAnsi="Calibri"/>
          <w:b/>
          <w:color w:val="1B4F72"/>
          <w:sz w:val="24"/>
        </w:rPr>
        <w:t>KPMG LLP</w:t>
      </w:r>
    </w:p>
    <w:p>
      <w:pPr>
        <w:spacing w:before="0" w:after="0"/>
      </w:pPr>
      <w:r>
        <w:rPr>
          <w:rFonts w:ascii="Calibri" w:hAnsi="Calibri"/>
          <w:b/>
          <w:color w:val="2D2D2D"/>
          <w:sz w:val="22"/>
        </w:rPr>
        <w:t>Senior Manager — AI &amp; Data Practice, Advisory</w:t>
      </w:r>
      <w:r>
        <w:rPr>
          <w:rFonts w:ascii="Calibri" w:hAnsi="Calibri"/>
          <w:color w:val="777777"/>
          <w:sz w:val="20"/>
        </w:rPr>
        <w:t xml:space="preserve">  |  New York, NY  |  September 2022 – Present</w:t>
      </w:r>
    </w:p>
    <w:p>
      <w:pPr>
        <w:spacing w:before="120" w:after="40"/>
      </w:pPr>
      <w:r>
        <w:rPr>
          <w:rFonts w:ascii="Calibri" w:hAnsi="Calibri"/>
          <w:b/>
          <w:i/>
          <w:color w:val="1B4F72"/>
          <w:sz w:val="21"/>
        </w:rPr>
        <w:t>Strategic AI Leadership &amp; Business Impact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AI-First Strategy: </w:t>
      </w:r>
      <w:r>
        <w:rPr>
          <w:rFonts w:ascii="Calibri" w:hAnsi="Calibri"/>
          <w:color w:val="2D2D2D"/>
          <w:sz w:val="20"/>
        </w:rPr>
        <w:t>Architected and implemented an AI-First policy across KPMG Advisory, improving enterprise AI adoption by 40%+. Defined AI vision, strategy, and multi-year roadmap for both internal teams and Fortune 500 clients.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C-Suite Partnerships: </w:t>
      </w:r>
      <w:r>
        <w:rPr>
          <w:rFonts w:ascii="Calibri" w:hAnsi="Calibri"/>
          <w:color w:val="2D2D2D"/>
          <w:sz w:val="20"/>
        </w:rPr>
        <w:t>Established strategic partnerships with client CTOs, CIOs, and C-Suite executives, directly improving clients' top-line revenue growth and bottom-line operational performance.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Revenue &amp; ROI: </w:t>
      </w:r>
      <w:r>
        <w:rPr>
          <w:rFonts w:ascii="Calibri" w:hAnsi="Calibri"/>
          <w:color w:val="2D2D2D"/>
          <w:sz w:val="20"/>
        </w:rPr>
        <w:t>Led client engagements generating $10M+ in revenue through collaboration with Senior Partners and stakeholders. Delivered measurable 18–20% ROI improvements through AI-driven business process optimization.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LLM Cost Optimization: </w:t>
      </w:r>
      <w:r>
        <w:rPr>
          <w:rFonts w:ascii="Calibri" w:hAnsi="Calibri"/>
          <w:color w:val="2D2D2D"/>
          <w:sz w:val="20"/>
        </w:rPr>
        <w:t>Authored enterprise guidelines for open-source and commercial LLM usage, reducing token consumption costs by 12–18%. Established LLMOps/MLOps standards for rapid prototyping and enterprise-scale rollouts.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Team Building: </w:t>
      </w:r>
      <w:r>
        <w:rPr>
          <w:rFonts w:ascii="Calibri" w:hAnsi="Calibri"/>
          <w:color w:val="2D2D2D"/>
          <w:sz w:val="20"/>
        </w:rPr>
        <w:t>Built and mentored a high-performing global matrix AI/Data organization of 20+ members. Led KPMG Advisory AI upskilling programs, knowledge-sharing initiatives, and FDE (First Delivery Experience) programs.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AI CoE Founder: </w:t>
      </w:r>
      <w:r>
        <w:rPr>
          <w:rFonts w:ascii="Calibri" w:hAnsi="Calibri"/>
          <w:color w:val="2D2D2D"/>
          <w:sz w:val="20"/>
        </w:rPr>
        <w:t>Founded and run the AI Center of Excellence — driving vendor management, rapid prototyping/POC development, framework evaluation, technical demos, and adoption of emerging AI techniques across the practice.</w:t>
      </w:r>
    </w:p>
    <w:p>
      <w:pPr>
        <w:spacing w:before="160" w:after="40"/>
      </w:pPr>
      <w:r>
        <w:rPr>
          <w:rFonts w:ascii="Calibri" w:hAnsi="Calibri"/>
          <w:b/>
          <w:i/>
          <w:color w:val="1B4F72"/>
          <w:sz w:val="21"/>
        </w:rPr>
        <w:t>Technical Delivery &amp; Agentic AI Product Development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End-to-End AI Product Ownership: </w:t>
      </w:r>
      <w:r>
        <w:rPr>
          <w:rFonts w:ascii="Calibri" w:hAnsi="Calibri"/>
          <w:color w:val="2D2D2D"/>
          <w:sz w:val="20"/>
        </w:rPr>
        <w:t>Business owner of full lifecycle AI products from ideation (0 → 1) to production. Created and managed reusable AI capabilities enabling scale and speed. Proactively reported risks to Senior Partners and client CTOs/stakeholders.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Agentic AI Solutions: </w:t>
      </w:r>
      <w:r>
        <w:rPr>
          <w:rFonts w:ascii="Calibri" w:hAnsi="Calibri"/>
          <w:color w:val="2D2D2D"/>
          <w:sz w:val="20"/>
        </w:rPr>
        <w:t>Led the design and delivery of complex Agentic AI solutions driving measurable business value — achieving 20–25% cost-efficiency savings on average, with improved client experience, productivity, and risk management.</w:t>
      </w:r>
    </w:p>
    <w:p>
      <w:pPr>
        <w:spacing w:before="120" w:after="40"/>
      </w:pPr>
      <w:r>
        <w:rPr>
          <w:rFonts w:ascii="Calibri" w:hAnsi="Calibri"/>
          <w:b/>
          <w:color w:val="2D2D2D"/>
          <w:sz w:val="20"/>
        </w:rPr>
        <w:t>Signature Agentic AI Deliveries: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>Agentic AI Contract IQ (Product) — $1M Initiative, 15–20 Member Global Team</w:t>
      </w:r>
      <w:r>
        <w:rPr>
          <w:rFonts w:ascii="Calibri" w:hAnsi="Calibri"/>
          <w:color w:val="2D2D2D"/>
          <w:sz w:val="20"/>
        </w:rPr>
      </w:r>
    </w:p>
    <w:p>
      <w:pPr>
        <w:pStyle w:val="ListBullet"/>
        <w:spacing w:before="20" w:after="20"/>
        <w:ind w:left="792"/>
      </w:pPr>
      <w:r>
        <w:rPr>
          <w:rFonts w:ascii="Calibri" w:hAnsi="Calibri"/>
          <w:color w:val="2D2D2D"/>
          <w:sz w:val="20"/>
        </w:rPr>
        <w:t>Developed an end-to-end contract automation platform replacing a costly vendor solution and consolidating multiple sector-specific contract systems. Supports ingestion of simple to complex contracts and invoices with automated contract-leakage detection, recovery, and labor-cost optimization.</w:t>
      </w:r>
    </w:p>
    <w:p>
      <w:pPr>
        <w:pStyle w:val="ListBullet"/>
        <w:spacing w:before="20" w:after="20"/>
        <w:ind w:left="792"/>
      </w:pPr>
      <w:r>
        <w:rPr>
          <w:rFonts w:ascii="Calibri" w:hAnsi="Calibri"/>
          <w:b/>
          <w:color w:val="2D2D2D"/>
          <w:sz w:val="20"/>
        </w:rPr>
        <w:t xml:space="preserve">Tech Stack: </w:t>
      </w:r>
      <w:r>
        <w:rPr>
          <w:rFonts w:ascii="Calibri" w:hAnsi="Calibri"/>
          <w:color w:val="2D2D2D"/>
          <w:sz w:val="20"/>
        </w:rPr>
      </w:r>
      <w:r>
        <w:rPr>
          <w:rFonts w:ascii="Calibri" w:hAnsi="Calibri"/>
          <w:color w:val="2D2D2D"/>
          <w:sz w:val="20"/>
        </w:rPr>
        <w:t>Agentic AI, VLM, LLM, Embedding Models, RAG, Evals, PostgreSQL, Azure Cosmos DB, Neo4j, Azure AI Search, React.js, LangChain/LangGraph/LangSmith, Claude Code. Cloud-agnostic architecture.</w:t>
      </w:r>
    </w:p>
    <w:p>
      <w:pPr>
        <w:pStyle w:val="ListBullet"/>
        <w:spacing w:before="20" w:after="20"/>
        <w:ind w:left="792"/>
      </w:pPr>
      <w:r>
        <w:rPr>
          <w:rFonts w:ascii="Calibri" w:hAnsi="Calibri"/>
          <w:b/>
          <w:color w:val="2D2D2D"/>
          <w:sz w:val="20"/>
        </w:rPr>
        <w:t xml:space="preserve">Impact: </w:t>
      </w:r>
      <w:r>
        <w:rPr>
          <w:rFonts w:ascii="Calibri" w:hAnsi="Calibri"/>
          <w:color w:val="2D2D2D"/>
          <w:sz w:val="20"/>
        </w:rPr>
      </w:r>
      <w:r>
        <w:rPr>
          <w:rFonts w:ascii="Calibri" w:hAnsi="Calibri"/>
          <w:color w:val="2D2D2D"/>
          <w:sz w:val="20"/>
        </w:rPr>
        <w:t>Multi-million-dollar revenue expectations; significant contract business automation and efficiency improvements.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>Agentic AI + MCP Financial Risk Analytics (Phase 1)</w:t>
      </w:r>
      <w:r>
        <w:rPr>
          <w:rFonts w:ascii="Calibri" w:hAnsi="Calibri"/>
          <w:color w:val="2D2D2D"/>
          <w:sz w:val="20"/>
        </w:rPr>
      </w:r>
    </w:p>
    <w:p>
      <w:pPr>
        <w:pStyle w:val="ListBullet"/>
        <w:spacing w:before="20" w:after="20"/>
        <w:ind w:left="792"/>
      </w:pPr>
      <w:r>
        <w:rPr>
          <w:rFonts w:ascii="Calibri" w:hAnsi="Calibri"/>
          <w:color w:val="2D2D2D"/>
          <w:sz w:val="20"/>
        </w:rPr>
        <w:t>Identified a new business opportunity and delivered an agentic AI solution leveraging MCP to improve financial risk numbers using bank data. Integrated AI Governance and robust evaluation frameworks.</w:t>
      </w:r>
    </w:p>
    <w:p>
      <w:pPr>
        <w:pStyle w:val="ListBullet"/>
        <w:spacing w:before="20" w:after="20"/>
        <w:ind w:left="792"/>
      </w:pPr>
      <w:r>
        <w:rPr>
          <w:rFonts w:ascii="Calibri" w:hAnsi="Calibri"/>
          <w:b/>
          <w:color w:val="2D2D2D"/>
          <w:sz w:val="20"/>
        </w:rPr>
        <w:t xml:space="preserve">Impact: </w:t>
      </w:r>
      <w:r>
        <w:rPr>
          <w:rFonts w:ascii="Calibri" w:hAnsi="Calibri"/>
          <w:color w:val="2D2D2D"/>
          <w:sz w:val="20"/>
        </w:rPr>
      </w:r>
      <w:r>
        <w:rPr>
          <w:rFonts w:ascii="Calibri" w:hAnsi="Calibri"/>
          <w:color w:val="2D2D2D"/>
          <w:sz w:val="20"/>
        </w:rPr>
        <w:t>Improved risk accuracy by 35%, operational efficiency by 55%+, and delivered $500K in savings within 6 months.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>RAG Content Harvesting Platform (Product)</w:t>
      </w:r>
      <w:r>
        <w:rPr>
          <w:rFonts w:ascii="Calibri" w:hAnsi="Calibri"/>
          <w:color w:val="2D2D2D"/>
          <w:sz w:val="20"/>
        </w:rPr>
      </w:r>
    </w:p>
    <w:p>
      <w:pPr>
        <w:pStyle w:val="ListBullet"/>
        <w:spacing w:before="20" w:after="20"/>
        <w:ind w:left="792"/>
      </w:pPr>
      <w:r>
        <w:rPr>
          <w:rFonts w:ascii="Calibri" w:hAnsi="Calibri"/>
          <w:color w:val="2D2D2D"/>
          <w:sz w:val="20"/>
        </w:rPr>
        <w:t>Built an advanced RAG solution with reranker and robust evaluation mechanisms delivering business taxonomy insights and thought leadership to KPMG and clients.</w:t>
      </w:r>
    </w:p>
    <w:p>
      <w:pPr>
        <w:pStyle w:val="ListBullet"/>
        <w:spacing w:before="20" w:after="20"/>
        <w:ind w:left="792"/>
      </w:pPr>
      <w:r>
        <w:rPr>
          <w:rFonts w:ascii="Calibri" w:hAnsi="Calibri"/>
          <w:b/>
          <w:color w:val="2D2D2D"/>
          <w:sz w:val="20"/>
        </w:rPr>
        <w:t xml:space="preserve">Impact: </w:t>
      </w:r>
      <w:r>
        <w:rPr>
          <w:rFonts w:ascii="Calibri" w:hAnsi="Calibri"/>
          <w:color w:val="2D2D2D"/>
          <w:sz w:val="20"/>
        </w:rPr>
      </w:r>
      <w:r>
        <w:rPr>
          <w:rFonts w:ascii="Calibri" w:hAnsi="Calibri"/>
          <w:color w:val="2D2D2D"/>
          <w:sz w:val="20"/>
        </w:rPr>
        <w:t>100%+ operational efficiency improvement; evolved into a full product generating $3M+ revenue over 2 years.</w:t>
      </w:r>
    </w:p>
    <w:p>
      <w:pPr>
        <w:spacing w:before="120" w:after="40"/>
      </w:pPr>
      <w:r>
        <w:rPr>
          <w:rFonts w:ascii="Calibri" w:hAnsi="Calibri"/>
          <w:b/>
          <w:i/>
          <w:color w:val="1B4F72"/>
          <w:sz w:val="21"/>
        </w:rPr>
        <w:t>AI Governance, Infrastructure &amp; Engineering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AI Governance: </w:t>
      </w:r>
      <w:r>
        <w:rPr>
          <w:rFonts w:ascii="Calibri" w:hAnsi="Calibri"/>
          <w:color w:val="2D2D2D"/>
          <w:sz w:val="20"/>
        </w:rPr>
        <w:t>Designed and implemented an ethical AI governance framework for KPMG and clients, aligned with EU AI Act and NIST AI RMF. Leveraged Credo.ai to build Trusted &amp; Responsible AI programs, lowering governance implementation costs by 15–20%.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LLMOps &amp; CI/CD: </w:t>
      </w:r>
      <w:r>
        <w:rPr>
          <w:rFonts w:ascii="Calibri" w:hAnsi="Calibri"/>
          <w:color w:val="2D2D2D"/>
          <w:sz w:val="20"/>
        </w:rPr>
        <w:t>Spearheaded enterprise-scale LLMOps strategy establishing end-to-end operational excellence and agent lifecycle management using ADO pipelines, CI/CD, Docker, and AKS. Managed both open-source (Llama) and commercial models (Azure OpenAI, Google Gemini, Anthropic).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Azure Data Engineering: </w:t>
      </w:r>
      <w:r>
        <w:rPr>
          <w:rFonts w:ascii="Calibri" w:hAnsi="Calibri"/>
          <w:color w:val="2D2D2D"/>
          <w:sz w:val="20"/>
        </w:rPr>
        <w:t>Co-led Azure data pipeline engineering, migration to Microsoft Fabric, and data privacy management via Azure Purview, data lineage, and data quality frameworks.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Developer Tooling: </w:t>
      </w:r>
      <w:r>
        <w:rPr>
          <w:rFonts w:ascii="Calibri" w:hAnsi="Calibri"/>
          <w:color w:val="2D2D2D"/>
          <w:sz w:val="20"/>
        </w:rPr>
        <w:t>Championed use of Claude Code for Agentic AI development. Strategized Azure AI Foundry adoption. Leveraged Microsoft Copilot for team-wide productivity enhancements. Led fine-tuning of models for domain-specific use cases.</w:t>
      </w:r>
    </w:p>
    <w:p>
      <w:pPr>
        <w:spacing w:before="40" w:after="40"/>
        <w:pBdr>
          <w:bottom w:val="single" w:sz="6" w:space="1" w:color="1B4F72"/>
        </w:pBdr>
      </w:pPr>
    </w:p>
    <w:p>
      <w:pPr>
        <w:spacing w:before="80" w:after="60"/>
      </w:pPr>
      <w:r>
        <w:rPr>
          <w:rFonts w:ascii="Calibri" w:hAnsi="Calibri"/>
          <w:b/>
          <w:color w:val="1B4F72"/>
          <w:sz w:val="24"/>
        </w:rPr>
        <w:t>TECHNOLOGY EXPERTISE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AI/ML Frameworks: </w:t>
      </w:r>
      <w:r>
        <w:rPr>
          <w:rFonts w:ascii="Calibri" w:hAnsi="Calibri"/>
          <w:color w:val="2D2D2D"/>
          <w:sz w:val="20"/>
        </w:rPr>
        <w:t>LangChain, LangGraph, LangSmith, Claude Code, Credo.ai, Hugging Face, PyTorch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LLMs &amp; Models: </w:t>
      </w:r>
      <w:r>
        <w:rPr>
          <w:rFonts w:ascii="Calibri" w:hAnsi="Calibri"/>
          <w:color w:val="2D2D2D"/>
          <w:sz w:val="20"/>
        </w:rPr>
        <w:t>Azure OpenAI (GPT-4o, o1/o3), Anthropic Claude, Google Gemini, Meta Llama, VLMs, Embedding Models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Cloud &amp; Data: </w:t>
      </w:r>
      <w:r>
        <w:rPr>
          <w:rFonts w:ascii="Calibri" w:hAnsi="Calibri"/>
          <w:color w:val="2D2D2D"/>
          <w:sz w:val="20"/>
        </w:rPr>
        <w:t>Azure AI Foundry, Azure Cosmos DB, Azure AI Search, Azure Purview, Microsoft Fabric, PostgreSQL, Neo4j, FAISS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DevOps &amp; Infra: </w:t>
      </w:r>
      <w:r>
        <w:rPr>
          <w:rFonts w:ascii="Calibri" w:hAnsi="Calibri"/>
          <w:color w:val="2D2D2D"/>
          <w:sz w:val="20"/>
        </w:rPr>
        <w:t>Azure DevOps (ADO), CI/CD Pipelines, Docker, AKS (Kubernetes), GitHub, LLMOps/MLOps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Governance: </w:t>
      </w:r>
      <w:r>
        <w:rPr>
          <w:rFonts w:ascii="Calibri" w:hAnsi="Calibri"/>
          <w:color w:val="2D2D2D"/>
          <w:sz w:val="20"/>
        </w:rPr>
        <w:t>EU AI Act, NIST AI RMF, Credo.ai, Trusted &amp; Responsible AI, AI Risk Management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b/>
          <w:color w:val="2D2D2D"/>
          <w:sz w:val="20"/>
        </w:rPr>
        <w:t xml:space="preserve">Frontend/Product: </w:t>
      </w:r>
      <w:r>
        <w:rPr>
          <w:rFonts w:ascii="Calibri" w:hAnsi="Calibri"/>
          <w:color w:val="2D2D2D"/>
          <w:sz w:val="20"/>
        </w:rPr>
        <w:t>React.js, UI/UX Design Oversight, Rapid Prototyping</w:t>
      </w:r>
    </w:p>
    <w:p>
      <w:pPr>
        <w:spacing w:before="40" w:after="40"/>
        <w:pBdr>
          <w:bottom w:val="single" w:sz="6" w:space="1" w:color="1B4F72"/>
        </w:pBdr>
      </w:pPr>
    </w:p>
    <w:p>
      <w:pPr>
        <w:spacing w:before="80" w:after="60"/>
      </w:pPr>
      <w:r>
        <w:rPr>
          <w:rFonts w:ascii="Calibri" w:hAnsi="Calibri"/>
          <w:b/>
          <w:color w:val="1B4F72"/>
          <w:sz w:val="24"/>
        </w:rPr>
        <w:t>EDUCATION</w:t>
      </w:r>
    </w:p>
    <w:p>
      <w:pPr>
        <w:spacing w:before="40" w:after="0"/>
      </w:pPr>
      <w:r>
        <w:rPr>
          <w:rFonts w:ascii="Calibri" w:hAnsi="Calibri"/>
          <w:b/>
          <w:color w:val="2D2D2D"/>
          <w:sz w:val="22"/>
        </w:rPr>
        <w:t>Master of Science — Computer Science (Minor: Statistics)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Rutgers University, New Brunswick, NJ</w:t>
      </w:r>
    </w:p>
    <w:p>
      <w:pPr>
        <w:spacing w:before="40" w:after="40"/>
        <w:pBdr>
          <w:bottom w:val="single" w:sz="6" w:space="1" w:color="1B4F72"/>
        </w:pBdr>
      </w:pPr>
    </w:p>
    <w:p>
      <w:pPr>
        <w:spacing w:before="80" w:after="60"/>
      </w:pPr>
      <w:r>
        <w:rPr>
          <w:rFonts w:ascii="Calibri" w:hAnsi="Calibri"/>
          <w:b/>
          <w:color w:val="1B4F72"/>
          <w:sz w:val="24"/>
        </w:rPr>
        <w:t>KEY DIFFERENTIATORS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D2D2D"/>
          <w:sz w:val="20"/>
        </w:rPr>
        <w:t>Entrepreneurial mindset — founded AI CoE; balance innovation with business delivery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D2D2D"/>
          <w:sz w:val="20"/>
        </w:rPr>
        <w:t>Hands-on technical leader — codes, architects, and leads simultaneously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D2D2D"/>
          <w:sz w:val="20"/>
        </w:rPr>
        <w:t>Strong business and technical communication; documentation and vendor management excellence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D2D2D"/>
          <w:sz w:val="20"/>
        </w:rPr>
        <w:t>Proven track record transitioning POCs to production-grade enterprise AI products</w:t>
      </w:r>
    </w:p>
    <w:p>
      <w:pPr>
        <w:pStyle w:val="ListBullet"/>
        <w:spacing w:before="20" w:after="20"/>
        <w:ind w:left="432"/>
      </w:pPr>
      <w:r>
        <w:rPr>
          <w:rFonts w:ascii="Calibri" w:hAnsi="Calibri"/>
          <w:color w:val="2D2D2D"/>
          <w:sz w:val="20"/>
        </w:rPr>
        <w:t>Financial Services domain focus with deep understanding of risk, compliance, and regulatory AI requirements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