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796E5" w14:textId="77777777" w:rsidR="009A6F22" w:rsidRDefault="009A6F22" w:rsidP="009A6F22">
      <w:pPr>
        <w:pStyle w:val="MdHeading1"/>
      </w:pPr>
      <w:r>
        <w:t>Dataset Construction Methodologies for Fractional Flow Reserve Prediction Using Machine Learning and Generative Adversarial Networks</w:t>
      </w:r>
    </w:p>
    <w:p w14:paraId="7874D8FB" w14:textId="77777777" w:rsidR="009A6F22" w:rsidRDefault="009A6F22" w:rsidP="009A6F22">
      <w:pPr>
        <w:pStyle w:val="MdParagraph"/>
      </w:pPr>
      <w:r>
        <w:rPr>
          <w:rStyle w:val="MdStrong"/>
        </w:rPr>
        <w:t>A Comprehensive Technical Report</w:t>
      </w:r>
    </w:p>
    <w:p w14:paraId="35B516E3" w14:textId="77777777" w:rsidR="009A6F22" w:rsidRDefault="009A6F22" w:rsidP="009A6F22">
      <w:pPr>
        <w:pStyle w:val="MdSpace"/>
        <w:spacing w:after="60"/>
      </w:pPr>
    </w:p>
    <w:p w14:paraId="7F3BC61F" w14:textId="77777777" w:rsidR="009A6F22" w:rsidRDefault="009A6F22" w:rsidP="009A6F22">
      <w:pPr>
        <w:pStyle w:val="MdHr"/>
        <w:pBdr>
          <w:bottom w:val="single" w:sz="6" w:space="1" w:color="auto"/>
        </w:pBdr>
      </w:pPr>
    </w:p>
    <w:p w14:paraId="332C944A" w14:textId="77777777" w:rsidR="009A6F22" w:rsidRDefault="009A6F22" w:rsidP="009A6F22">
      <w:pPr>
        <w:pStyle w:val="MdSpace"/>
        <w:spacing w:after="60"/>
      </w:pPr>
    </w:p>
    <w:p w14:paraId="5041ACA1" w14:textId="347A5841" w:rsidR="009A6F22" w:rsidRDefault="009A6F22" w:rsidP="009A6F22">
      <w:pPr>
        <w:pStyle w:val="MdParagraph"/>
      </w:pPr>
      <w:r>
        <w:rPr>
          <w:rStyle w:val="MdStrong"/>
        </w:rPr>
        <w:t>Prepared for:</w:t>
      </w:r>
      <w:r>
        <w:rPr>
          <w:rStyle w:val="MdBr"/>
        </w:rPr>
        <w:br/>
      </w:r>
      <w:r>
        <w:t>FFR-GAN Research Project</w:t>
      </w:r>
    </w:p>
    <w:p w14:paraId="02887CDA" w14:textId="77777777" w:rsidR="009A6F22" w:rsidRDefault="009A6F22" w:rsidP="009A6F22">
      <w:pPr>
        <w:pStyle w:val="MdParagraph"/>
      </w:pPr>
      <w:r>
        <w:rPr>
          <w:rStyle w:val="MdStrong"/>
        </w:rPr>
        <w:t>Date:</w:t>
      </w:r>
      <w:r>
        <w:rPr>
          <w:rStyle w:val="MdBr"/>
        </w:rPr>
        <w:br/>
      </w:r>
      <w:r>
        <w:t>November 4, 2025</w:t>
      </w:r>
    </w:p>
    <w:p w14:paraId="492A5AF0" w14:textId="77777777" w:rsidR="009A6F22" w:rsidRDefault="009A6F22" w:rsidP="009A6F22">
      <w:pPr>
        <w:pStyle w:val="MdHr"/>
        <w:pBdr>
          <w:bottom w:val="single" w:sz="6" w:space="1" w:color="auto"/>
        </w:pBdr>
      </w:pPr>
    </w:p>
    <w:p w14:paraId="78EF7550" w14:textId="77777777" w:rsidR="009A6F22" w:rsidRDefault="009A6F22" w:rsidP="009A6F22">
      <w:pPr>
        <w:pStyle w:val="MdSpace"/>
        <w:spacing w:after="60"/>
      </w:pPr>
    </w:p>
    <w:p w14:paraId="157483E3" w14:textId="77777777" w:rsidR="009A6F22" w:rsidRDefault="009A6F22" w:rsidP="009A6F22">
      <w:pPr>
        <w:pStyle w:val="MdHeading2"/>
      </w:pPr>
      <w:r>
        <w:t>Executive Summary</w:t>
      </w:r>
    </w:p>
    <w:p w14:paraId="31F45ED4" w14:textId="5ECC1F93" w:rsidR="009A6F22" w:rsidRDefault="009A6F22" w:rsidP="009A6F22">
      <w:pPr>
        <w:pStyle w:val="MdParagraph"/>
      </w:pPr>
      <w:r>
        <w:t xml:space="preserve">This technical report provides a comprehensive methodology for constructing datasets suitable for machine learning-based fractional flow reserve (FFR) prediction, with specific emphasis on generative adversarial network (GAN) approaches for patient-specific adjustment. The report synthesizes insights from six peer-reviewed research papers spanning synthetic data generation, clinical trial datasets, multicenter validation studies, and medical imaging dataset best practices. The methodology addresses </w:t>
      </w:r>
      <w:r w:rsidR="006A1087">
        <w:t>four</w:t>
      </w:r>
      <w:r>
        <w:t xml:space="preserve"> critical dimensions of dataset construction: approach and strategy, data requirements, data structure and format, and practical implementation guidance. This report serves as a foundational reference for researchers developing AI-driven coronary assessment tools that integrate computational fluid dynamics, deep learning, and patient-specific clinical parameters.</w:t>
      </w:r>
    </w:p>
    <w:p w14:paraId="5A0D25EA" w14:textId="77777777" w:rsidR="009A6F22" w:rsidRDefault="009A6F22" w:rsidP="009A6F22">
      <w:pPr>
        <w:pStyle w:val="MdHr"/>
        <w:pBdr>
          <w:bottom w:val="single" w:sz="6" w:space="1" w:color="auto"/>
        </w:pBdr>
      </w:pPr>
    </w:p>
    <w:p w14:paraId="4574794B" w14:textId="77777777" w:rsidR="009A6F22" w:rsidRDefault="009A6F22" w:rsidP="009A6F22">
      <w:pPr>
        <w:pStyle w:val="MdSpace"/>
        <w:spacing w:after="60"/>
      </w:pPr>
    </w:p>
    <w:p w14:paraId="205E12AE" w14:textId="77777777" w:rsidR="009A6F22" w:rsidRDefault="009A6F22" w:rsidP="009A6F22">
      <w:pPr>
        <w:pStyle w:val="MdHeading2"/>
      </w:pPr>
      <w:r>
        <w:t>Table of Contents</w:t>
      </w:r>
    </w:p>
    <w:p w14:paraId="53FF6E48" w14:textId="77777777" w:rsidR="009A6F22" w:rsidRDefault="009A6F22" w:rsidP="009A6F22">
      <w:pPr>
        <w:pStyle w:val="MdListItem"/>
        <w:numPr>
          <w:ilvl w:val="0"/>
          <w:numId w:val="1"/>
        </w:numPr>
      </w:pPr>
      <w:hyperlink w:anchor="1-introduction" w:history="1">
        <w:r>
          <w:rPr>
            <w:rStyle w:val="MdLink"/>
          </w:rPr>
          <w:t>Introduction</w:t>
        </w:r>
      </w:hyperlink>
    </w:p>
    <w:p w14:paraId="0936AE87" w14:textId="77777777" w:rsidR="009A6F22" w:rsidRDefault="009A6F22" w:rsidP="009A6F22">
      <w:pPr>
        <w:pStyle w:val="MdListItem"/>
        <w:numPr>
          <w:ilvl w:val="0"/>
          <w:numId w:val="1"/>
        </w:numPr>
      </w:pPr>
      <w:hyperlink w:anchor="2-dataset-construction-approaches" w:history="1">
        <w:r>
          <w:rPr>
            <w:rStyle w:val="MdLink"/>
          </w:rPr>
          <w:t>Dataset Construction Approaches</w:t>
        </w:r>
      </w:hyperlink>
    </w:p>
    <w:p w14:paraId="11D239E0" w14:textId="77777777" w:rsidR="009A6F22" w:rsidRDefault="009A6F22" w:rsidP="009A6F22">
      <w:pPr>
        <w:pStyle w:val="MdListItem"/>
        <w:numPr>
          <w:ilvl w:val="0"/>
          <w:numId w:val="1"/>
        </w:numPr>
      </w:pPr>
      <w:hyperlink w:anchor="3-data-requirements-inputs-and-labels" w:history="1">
        <w:r>
          <w:rPr>
            <w:rStyle w:val="MdLink"/>
          </w:rPr>
          <w:t>Data Requirements: Inputs and Labels</w:t>
        </w:r>
      </w:hyperlink>
    </w:p>
    <w:p w14:paraId="49030F21" w14:textId="77777777" w:rsidR="009A6F22" w:rsidRDefault="009A6F22" w:rsidP="009A6F22">
      <w:pPr>
        <w:pStyle w:val="MdListItem"/>
        <w:numPr>
          <w:ilvl w:val="0"/>
          <w:numId w:val="1"/>
        </w:numPr>
      </w:pPr>
      <w:hyperlink w:anchor="6-data-structure-and-format-specifications" w:history="1">
        <w:r>
          <w:rPr>
            <w:rStyle w:val="MdLink"/>
          </w:rPr>
          <w:t>Data Structure and Format Specifications</w:t>
        </w:r>
      </w:hyperlink>
    </w:p>
    <w:p w14:paraId="15684D24" w14:textId="77777777" w:rsidR="009A6F22" w:rsidRDefault="009A6F22" w:rsidP="009A6F22">
      <w:pPr>
        <w:pStyle w:val="MdListItem"/>
        <w:numPr>
          <w:ilvl w:val="0"/>
          <w:numId w:val="1"/>
        </w:numPr>
      </w:pPr>
      <w:hyperlink w:anchor="8-implementation-recommendations-for-ffr-gan-projects" w:history="1">
        <w:r>
          <w:rPr>
            <w:rStyle w:val="MdLink"/>
          </w:rPr>
          <w:t>Implementation Recommendations for FFR-GAN Projects</w:t>
        </w:r>
      </w:hyperlink>
    </w:p>
    <w:p w14:paraId="5D6423FC" w14:textId="77777777" w:rsidR="009A6F22" w:rsidRDefault="009A6F22" w:rsidP="009A6F22">
      <w:pPr>
        <w:pStyle w:val="MdListItem"/>
        <w:numPr>
          <w:ilvl w:val="0"/>
          <w:numId w:val="1"/>
        </w:numPr>
      </w:pPr>
      <w:hyperlink w:anchor="9-conclusion" w:history="1">
        <w:r>
          <w:rPr>
            <w:rStyle w:val="MdLink"/>
          </w:rPr>
          <w:t>Conclusion</w:t>
        </w:r>
      </w:hyperlink>
    </w:p>
    <w:p w14:paraId="65C56671" w14:textId="77777777" w:rsidR="009A6F22" w:rsidRDefault="009A6F22" w:rsidP="009A6F22">
      <w:pPr>
        <w:pStyle w:val="MdListItem"/>
        <w:numPr>
          <w:ilvl w:val="0"/>
          <w:numId w:val="1"/>
        </w:numPr>
      </w:pPr>
      <w:hyperlink w:anchor="10-references" w:history="1">
        <w:r>
          <w:rPr>
            <w:rStyle w:val="MdLink"/>
          </w:rPr>
          <w:t>References</w:t>
        </w:r>
      </w:hyperlink>
    </w:p>
    <w:p w14:paraId="60F7EC78" w14:textId="77777777" w:rsidR="009A6F22" w:rsidRDefault="009A6F22" w:rsidP="009A6F22">
      <w:pPr>
        <w:pStyle w:val="MdHr"/>
        <w:pBdr>
          <w:bottom w:val="single" w:sz="6" w:space="1" w:color="auto"/>
        </w:pBdr>
      </w:pPr>
    </w:p>
    <w:p w14:paraId="22379542" w14:textId="77777777" w:rsidR="009A6F22" w:rsidRDefault="009A6F22" w:rsidP="009A6F22">
      <w:pPr>
        <w:pStyle w:val="MdSpace"/>
        <w:spacing w:after="60"/>
      </w:pPr>
    </w:p>
    <w:p w14:paraId="4965BA66" w14:textId="77777777" w:rsidR="009A6F22" w:rsidRDefault="009A6F22" w:rsidP="009A6F22">
      <w:pPr>
        <w:pStyle w:val="MdHeading2"/>
      </w:pPr>
      <w:r>
        <w:t>1. Introduction</w:t>
      </w:r>
    </w:p>
    <w:p w14:paraId="5EACC873" w14:textId="77777777" w:rsidR="009A6F22" w:rsidRDefault="009A6F22" w:rsidP="009A6F22">
      <w:pPr>
        <w:pStyle w:val="MdHeading3"/>
      </w:pPr>
      <w:r>
        <w:t>1.1 Background and Motivation</w:t>
      </w:r>
    </w:p>
    <w:p w14:paraId="2592C51C" w14:textId="77777777" w:rsidR="009A6F22" w:rsidRDefault="009A6F22" w:rsidP="009A6F22">
      <w:pPr>
        <w:pStyle w:val="MdParagraph"/>
      </w:pPr>
      <w:r>
        <w:t>Fractional flow reserve (FFR) is the clinical gold standard for assessing the hemodynamic significance of coronary artery stenoses. Traditional invasive FFR measurement requires cardiac catheterization with pressure wire insertion, exposing patients to procedural risks including bleeding, arterial damage, and radiation exposure. The development of noninvasive FFR estimation from coronary computed tomography angiography (CCTA) represents a significant advancement in cardiovascular medicine, enabling functional assessment without invasive procedures. Machine learning approaches to FFR prediction have evolved through multiple paradigms. Early physics-based computational fluid dynamics (CFD) methods provided accurate hemodynamic simulation but required substantial computational resources and processing time. Recent deep learning approaches have demonstrated comparable diagnostic accuracy with dramatically reduced computation time, enabling real-time clinical decision support. The integration of generative adversarial networks offers a novel opportunity to refine baseline FFR predictions using patient-specific conditioning variables, addressing the limitation that anatomical features alone cannot fully capture individual physiological variability.</w:t>
      </w:r>
    </w:p>
    <w:p w14:paraId="0AA09B24" w14:textId="77777777" w:rsidR="009A6F22" w:rsidRDefault="009A6F22" w:rsidP="009A6F22">
      <w:pPr>
        <w:pStyle w:val="MdSpace"/>
        <w:spacing w:after="60"/>
      </w:pPr>
    </w:p>
    <w:p w14:paraId="4E6C70FF" w14:textId="77777777" w:rsidR="009A6F22" w:rsidRDefault="009A6F22" w:rsidP="009A6F22">
      <w:pPr>
        <w:pStyle w:val="MdHeading3"/>
      </w:pPr>
      <w:r>
        <w:t>1.2 Scope and Objectives</w:t>
      </w:r>
    </w:p>
    <w:p w14:paraId="3137B3F7" w14:textId="255BE920" w:rsidR="009A6F22" w:rsidRDefault="009A6F22" w:rsidP="009A6F22">
      <w:pPr>
        <w:pStyle w:val="MdParagraph"/>
      </w:pPr>
      <w:r>
        <w:t>This report addresses the fundamental challenge of dataset construction for FFR prediction models, particularly those incorporating patient-specific adjustments through GAN architectures. The primary objectives are to provide a systematic methodology for researchers to construct high-quality datasets that support the development, training, validation, and clinical translation of AI-based FFR estimation tools. The report synthesizes methodologies from six representative studies spanning synthetic data generation, comparative diagnostic performance studies, and medical imaging dataset best practices.</w:t>
      </w:r>
    </w:p>
    <w:p w14:paraId="40FFCF97" w14:textId="77777777" w:rsidR="009A6F22" w:rsidRDefault="009A6F22" w:rsidP="009A6F22">
      <w:pPr>
        <w:pStyle w:val="MdHr"/>
        <w:pBdr>
          <w:bottom w:val="single" w:sz="6" w:space="1" w:color="auto"/>
        </w:pBdr>
      </w:pPr>
    </w:p>
    <w:p w14:paraId="30CBAAEC" w14:textId="77777777" w:rsidR="009A6F22" w:rsidRDefault="009A6F22" w:rsidP="009A6F22">
      <w:pPr>
        <w:pStyle w:val="MdSpace"/>
        <w:spacing w:after="60"/>
      </w:pPr>
    </w:p>
    <w:p w14:paraId="1068FC20" w14:textId="77777777" w:rsidR="009A6F22" w:rsidRDefault="009A6F22" w:rsidP="009A6F22">
      <w:pPr>
        <w:pStyle w:val="MdHeading2"/>
      </w:pPr>
      <w:r>
        <w:t>2. Dataset Construction Approaches</w:t>
      </w:r>
    </w:p>
    <w:p w14:paraId="269D09AE" w14:textId="252E6595" w:rsidR="009A6F22" w:rsidRDefault="009A6F22" w:rsidP="009A6F22">
      <w:pPr>
        <w:pStyle w:val="MdParagraph"/>
      </w:pPr>
      <w:r>
        <w:t>Dataset construction for FFR prediction can follow two primary paradigms: synthetic data generation using computational modeling, or collection and curation of real patient data from clinical studies. Each approach offers distinct advantages and limitations that must be carefully considered based on research objectives, available resources, and intended clinical applications.</w:t>
      </w:r>
      <w:r w:rsidR="009C5612">
        <w:t xml:space="preserve"> However, in this report, we will focus on synthetically generated data.</w:t>
      </w:r>
    </w:p>
    <w:p w14:paraId="71891892" w14:textId="77777777" w:rsidR="009A6F22" w:rsidRDefault="009A6F22" w:rsidP="009A6F22">
      <w:pPr>
        <w:pStyle w:val="MdSpace"/>
        <w:spacing w:after="60"/>
      </w:pPr>
    </w:p>
    <w:p w14:paraId="33809A5E" w14:textId="77777777" w:rsidR="009A6F22" w:rsidRDefault="009A6F22" w:rsidP="009A6F22">
      <w:pPr>
        <w:pStyle w:val="MdHeading3"/>
      </w:pPr>
      <w:r>
        <w:lastRenderedPageBreak/>
        <w:t>2.1 Synthetic Data Generation Approach</w:t>
      </w:r>
    </w:p>
    <w:p w14:paraId="67AECF67" w14:textId="3D931213" w:rsidR="009A6F22" w:rsidRDefault="009A6F22" w:rsidP="009A6F22">
      <w:pPr>
        <w:pStyle w:val="MdParagraph"/>
      </w:pPr>
      <w:r>
        <w:t xml:space="preserve">The synthetic data generation approach addresses the fundamental challenge of limited availability of labeled clinical data by algorithmically creating large-scale training datasets that capture anatomical variability representative of real patient populations. This methodology was comprehensively demonstrated in a machine learning study that constructed a training database of 12,000 </w:t>
      </w:r>
      <w:r w:rsidR="00722810">
        <w:t>artificially</w:t>
      </w:r>
      <w:r>
        <w:t xml:space="preserve"> </w:t>
      </w:r>
      <w:r w:rsidR="00722810">
        <w:t>created</w:t>
      </w:r>
      <w:r>
        <w:t xml:space="preserve"> coronary artery trees [1].</w:t>
      </w:r>
    </w:p>
    <w:p w14:paraId="385798A8" w14:textId="77777777" w:rsidR="009A6F22" w:rsidRDefault="009A6F22" w:rsidP="009A6F22">
      <w:pPr>
        <w:pStyle w:val="MdSpace"/>
        <w:spacing w:after="60"/>
      </w:pPr>
    </w:p>
    <w:p w14:paraId="138830A3" w14:textId="23AFE64F" w:rsidR="009A6F22" w:rsidRDefault="009A6F22" w:rsidP="00722810">
      <w:pPr>
        <w:pStyle w:val="MdParagraph"/>
      </w:pPr>
      <w:r>
        <w:t>The synthetic generation process follows a three-stage algorithmic pipeline. First</w:t>
      </w:r>
      <w:r w:rsidR="00722810">
        <w:t>ly</w:t>
      </w:r>
      <w:r>
        <w:t xml:space="preserve">, </w:t>
      </w:r>
      <w:r w:rsidR="00722810">
        <w:t>t</w:t>
      </w:r>
      <w:r w:rsidR="00722810" w:rsidRPr="00722810">
        <w:t>he number of arteries at every stage of the coronary tree is set for establishing the cardiac skeleton</w:t>
      </w:r>
      <w:r>
        <w:t xml:space="preserve">. The architecture includes three </w:t>
      </w:r>
      <w:r w:rsidR="00722810">
        <w:t>primary</w:t>
      </w:r>
      <w:r>
        <w:t xml:space="preserve"> branches representing the left anterior descending artery (LAD), left circumflex artery (LC</w:t>
      </w:r>
      <w:r w:rsidR="009C5612">
        <w:t>A</w:t>
      </w:r>
      <w:r>
        <w:t>), and right coronary artery (RCA). First-generation side branches are sampled to range from two to five per main branch, while second-generation side branches range from zero to two. This hierarchical structure reflects the natural branching topology of human coronary circulation.</w:t>
      </w:r>
    </w:p>
    <w:p w14:paraId="6ABE9B41" w14:textId="77777777" w:rsidR="009A6F22" w:rsidRDefault="009A6F22" w:rsidP="009A6F22">
      <w:pPr>
        <w:pStyle w:val="MdSpace"/>
        <w:spacing w:after="60"/>
      </w:pPr>
    </w:p>
    <w:p w14:paraId="2D56F5BD" w14:textId="77777777" w:rsidR="009A6F22" w:rsidRDefault="009A6F22" w:rsidP="009A6F22">
      <w:pPr>
        <w:pStyle w:val="MdParagraph"/>
      </w:pPr>
      <w:r>
        <w:t>Second, geometric parameters are assigned to each vessel segment by sampling from ranges derived from published medical literature. Key parameters include root radius (0.15-0.35 cm), power coefficient for bifurcation scaling (2.1-2.7), area ratio at bifurcations (0.35-0.45 for main branches, 0.6-0.8 for side branches), degree of tapering (-20% to +5% from proximal to distal), vessel length (1.5-4 cm), and bifurcation angles (30-90 degrees). The sampling strategy employs normal distributions for physiologically constrained parameters such as root radius and stenosis severity, while uniform distributions are used for geometric parameters to ensure broad coverage of anatomical variations.</w:t>
      </w:r>
    </w:p>
    <w:p w14:paraId="7C1E276D" w14:textId="77777777" w:rsidR="009A6F22" w:rsidRDefault="009A6F22" w:rsidP="009A6F22">
      <w:pPr>
        <w:pStyle w:val="MdSpace"/>
        <w:spacing w:after="60"/>
      </w:pPr>
    </w:p>
    <w:p w14:paraId="2BDB83A6" w14:textId="1FCFE3B9" w:rsidR="009A6F22" w:rsidRDefault="009A6F22" w:rsidP="00391092">
      <w:pPr>
        <w:pStyle w:val="MdParagraph"/>
      </w:pPr>
      <w:r>
        <w:t xml:space="preserve">Third, pathological conditions are introduced by randomly placing stenoses throughout the coronary tree. </w:t>
      </w:r>
      <w:r w:rsidR="0055721E" w:rsidRPr="0055721E">
        <w:t>Random sampling is used to determine the total amount of stenoses per vessel segment, which ranges from 0 to 3 for the primary branch segments and from 0 to 2 for side branch segments.</w:t>
      </w:r>
      <w:r w:rsidR="00391092">
        <w:t xml:space="preserve"> </w:t>
      </w:r>
      <w:r>
        <w:t xml:space="preserve">For each stenosis, multiple parameters are defined </w:t>
      </w:r>
      <w:r w:rsidR="00391092" w:rsidRPr="00391092">
        <w:t>containing the length of the minimal radius region, the precise position of the stenosis center throughout the vessel, the highest percentage of radius decrease, the total stenosis length, and the total amount of tapering across the stenosis.</w:t>
      </w:r>
      <w:r w:rsidR="00391092">
        <w:t xml:space="preserve"> </w:t>
      </w:r>
      <w:r>
        <w:t xml:space="preserve">Stenoses can be </w:t>
      </w:r>
      <w:r w:rsidR="00391092" w:rsidRPr="00391092">
        <w:t xml:space="preserve">applied to individual </w:t>
      </w:r>
      <w:r w:rsidR="00391092">
        <w:t>segments</w:t>
      </w:r>
      <w:r>
        <w:t xml:space="preserve"> at bifurcations, with different parameter values for parent and daughter branches in bifurcation stenoses.</w:t>
      </w:r>
    </w:p>
    <w:p w14:paraId="1F56454F" w14:textId="77777777" w:rsidR="009A6F22" w:rsidRDefault="009A6F22" w:rsidP="009A6F22">
      <w:pPr>
        <w:pStyle w:val="MdSpace"/>
        <w:spacing w:after="60"/>
      </w:pPr>
    </w:p>
    <w:p w14:paraId="4BAD9E8C" w14:textId="77777777" w:rsidR="009A6F22" w:rsidRDefault="009A6F22" w:rsidP="009A6F22">
      <w:pPr>
        <w:pStyle w:val="MdParagraph"/>
      </w:pPr>
      <w:r>
        <w:t>The synthetic approach offers several critical advantages for dataset construction. First, it enables generation of arbitrarily large training datasets, overcoming the sample size limitations inherent in clinical data collection. The study referenced generated 12,000 synthetic cases, providing dense coverage of the anatomical parameter space. Second, synthetic data avoids patient privacy concerns since no real patient information is involved, eliminating regulatory barriers to data sharing and collaborative research. Third, the ground truth labels (FFR values) can be obtained deterministically through computational fluid dynamics simulation, ensuring consistency and reproducibility without inter-observer variability. Fourth, synthetic generation enables systematic exploration of rare or extreme anatomical configurations that may be underrepresented in clinical datasets, improving model robustness.</w:t>
      </w:r>
    </w:p>
    <w:p w14:paraId="5EA83933" w14:textId="77777777" w:rsidR="009A6F22" w:rsidRDefault="009A6F22" w:rsidP="009A6F22">
      <w:pPr>
        <w:pStyle w:val="MdSpace"/>
        <w:spacing w:after="60"/>
      </w:pPr>
    </w:p>
    <w:p w14:paraId="76A73948" w14:textId="71AC1621" w:rsidR="009A6F22" w:rsidRDefault="009A6F22" w:rsidP="009A6F22">
      <w:pPr>
        <w:pStyle w:val="MdParagraph"/>
      </w:pPr>
      <w:r>
        <w:t xml:space="preserve">However, synthetic data generation also presents important limitations. The synthetic anatomies may not fully capture the complexity and variability of real patient coronary </w:t>
      </w:r>
      <w:r>
        <w:lastRenderedPageBreak/>
        <w:t>circulation, particularly rare anatomical variants such as anomalous coronary origins</w:t>
      </w:r>
      <w:r w:rsidR="009C5612">
        <w:t xml:space="preserve">. </w:t>
      </w:r>
      <w:r>
        <w:t>The quality of synthetic data depends critically on the accuracy of the underlying parametric models and sampling distributions, which must be carefully validated against real anatomical measurements. Additionally, while synthetic data is valuable for initial model training, validation on real patient data with invasive FFR measurements remains essential to ensure clinical applicability.</w:t>
      </w:r>
    </w:p>
    <w:p w14:paraId="084D849B" w14:textId="77777777" w:rsidR="009A6F22" w:rsidRDefault="009A6F22" w:rsidP="009A6F22">
      <w:pPr>
        <w:pStyle w:val="MdHeading3"/>
      </w:pPr>
      <w:r>
        <w:t>2.3 Hybrid Approaches</w:t>
      </w:r>
    </w:p>
    <w:p w14:paraId="20E4F51E" w14:textId="77777777" w:rsidR="009A6F22" w:rsidRDefault="009A6F22" w:rsidP="009A6F22">
      <w:pPr>
        <w:pStyle w:val="MdParagraph"/>
      </w:pPr>
      <w:r w:rsidRPr="007F2DF0">
        <w:t>The clinical trial-based approach gathers data directly from patients enrolled in prospective studies such as the NXT and PACIFIC trials, which together provided high-quality coronary CT angiography (CCTA) images, invasive FFR measurements, and complementary physiological data across multiple centers [2]. These datasets are valuable because they represent real anatomical complexity, inter-patient variability, and imaging artifacts that synthetic models cannot fully reproduce. However, their limited sample sizes, ethical constraints, and high collection costs restrict their scalability and accessibility for large-scale model training. To overcome these limitations, modern FFR prediction research increasingly adopts a hybrid data construction strategy that combines the strengths of synthetic and clinical datasets.</w:t>
      </w:r>
      <w:r>
        <w:t xml:space="preserve"> A recommended strategy involves using large-scale synthetic data for initial training of baseline FFR prediction models (such as the CNN component of an FFR-GAN system), followed by refinement and validation using smaller but high-quality clinical datasets.</w:t>
      </w:r>
    </w:p>
    <w:p w14:paraId="0A9C4C54" w14:textId="77777777" w:rsidR="009A6F22" w:rsidRDefault="009A6F22" w:rsidP="009A6F22">
      <w:pPr>
        <w:pStyle w:val="MdSpace"/>
        <w:spacing w:after="60"/>
      </w:pPr>
    </w:p>
    <w:p w14:paraId="2928F07C" w14:textId="77777777" w:rsidR="009A6F22" w:rsidRDefault="009A6F22" w:rsidP="009A6F22">
      <w:pPr>
        <w:pStyle w:val="MdParagraph"/>
      </w:pPr>
      <w:r>
        <w:t>The hybrid approach enables efficient use of computational resources by performing the computationally intensive initial training phase on synthetic data, which can be generated at scale without privacy concerns or regulatory barriers. The baseline model learns fundamental anatomy-to-hemodynamics relationships from the synthetic data's broad coverage of anatomical parameter space. Subsequently, the model is fine-tuned or augmented (in the case of GAN-based adjustment) using real patient data that captures patient-specific factors, multicentric variability, and authentic clinical complexity. This two-stage strategy balances the need for large-scale training data with the imperative for clinical validation on real patient measurements.</w:t>
      </w:r>
    </w:p>
    <w:p w14:paraId="229E80D7" w14:textId="77777777" w:rsidR="009A6F22" w:rsidRDefault="009A6F22" w:rsidP="009A6F22">
      <w:pPr>
        <w:pStyle w:val="MdHr"/>
        <w:pBdr>
          <w:bottom w:val="single" w:sz="6" w:space="1" w:color="auto"/>
        </w:pBdr>
      </w:pPr>
    </w:p>
    <w:p w14:paraId="35C18FFF" w14:textId="77777777" w:rsidR="009A6F22" w:rsidRDefault="009A6F22" w:rsidP="009A6F22">
      <w:pPr>
        <w:pStyle w:val="MdSpace"/>
        <w:spacing w:after="60"/>
      </w:pPr>
    </w:p>
    <w:p w14:paraId="5DBE05F2" w14:textId="77777777" w:rsidR="009A6F22" w:rsidRDefault="009A6F22" w:rsidP="009A6F22">
      <w:pPr>
        <w:pStyle w:val="MdHeading2"/>
      </w:pPr>
      <w:r>
        <w:t>3. Data Requirements: Inputs and Labels</w:t>
      </w:r>
    </w:p>
    <w:p w14:paraId="5DF70CB9" w14:textId="77777777" w:rsidR="009A6F22" w:rsidRDefault="009A6F22" w:rsidP="009A6F22">
      <w:pPr>
        <w:pStyle w:val="MdParagraph"/>
      </w:pPr>
      <w:r>
        <w:t>The construction of effective datasets for FFR prediction requires careful specification of input features and target labels. The choice of inputs determines what anatomical and clinical information the model can leverage, while the choice of labels defines the prediction target and clinical relevance of the model.</w:t>
      </w:r>
    </w:p>
    <w:p w14:paraId="69B0000D" w14:textId="77777777" w:rsidR="009A6F22" w:rsidRDefault="009A6F22" w:rsidP="009A6F22">
      <w:pPr>
        <w:pStyle w:val="MdSpace"/>
        <w:spacing w:after="60"/>
      </w:pPr>
    </w:p>
    <w:p w14:paraId="1FFEF3AD" w14:textId="77777777" w:rsidR="009A6F22" w:rsidRDefault="009A6F22" w:rsidP="009A6F22">
      <w:pPr>
        <w:pStyle w:val="MdHeading3"/>
      </w:pPr>
      <w:r>
        <w:t>3.1 Input Features: Anatomical and Geometric Characteristics</w:t>
      </w:r>
    </w:p>
    <w:p w14:paraId="12D6FE7B" w14:textId="77777777" w:rsidR="009A6F22" w:rsidRDefault="009A6F22" w:rsidP="009A6F22">
      <w:pPr>
        <w:pStyle w:val="MdParagraph"/>
      </w:pPr>
      <w:r>
        <w:t xml:space="preserve">Machine learning models for FFR prediction typically utilize geometric features extracted from coronary anatomical models reconstructed from CCTA images. A comprehensive </w:t>
      </w:r>
      <w:r>
        <w:lastRenderedPageBreak/>
        <w:t>feature set was described in a study that employed 28 input features computed at each location along the coronary centerline [1].</w:t>
      </w:r>
    </w:p>
    <w:p w14:paraId="5CED64DC" w14:textId="77777777" w:rsidR="009A6F22" w:rsidRDefault="009A6F22" w:rsidP="009A6F22">
      <w:pPr>
        <w:pStyle w:val="MdHeading3"/>
      </w:pPr>
      <w:r>
        <w:t>3.2 Input Features: Quantitative Plaque Characteristics</w:t>
      </w:r>
    </w:p>
    <w:p w14:paraId="1A434442" w14:textId="77777777" w:rsidR="009A6F22" w:rsidRDefault="009A6F22" w:rsidP="009A6F22">
      <w:pPr>
        <w:pStyle w:val="MdParagraph"/>
      </w:pPr>
      <w:r>
        <w:t>An alternative or complementary approach focuses on quantitative plaque features rather than purely geometric characteristics. A study utilizing plaque-based machine learning employed 19 measurements automatically extracted from each vessel using semiautomated plaque analysis software [2]. These features included plaque size (total plaque volume, plaque length), plaque composition (calcified plaque volume, noncalcified plaque volume, low-density noncalcified plaque volume), vessel geometry (reference vessel diameter, minimal lumen diameter), stenosis severity (percent diameter stenosis, percent area stenosis), and plaque distribution (plaque eccentricity, remodeling index). The plaque-based approach recognizes that coronary physiology is determined not only by luminal narrowing but also by plaque morphology and composition. Low-density noncalcified plaque, representing lipid-rich vulnerable plaque, was identified as having the greatest feature importance for FFR prediction after stenosis severity. This suggests that plaque characteristics provide complementary information to geometric features, potentially improving prediction accuracy. For FFR-GAN projects incorporating patient-specific adjustment, both geometric and plaque features should be considered as inputs to the baseline CNN model, with selected features also serving as conditioning variables for the GAN generator. The integration of anatomical features with patient-specific clinical parameters (age, sex, comorbidities) enables the model to capture both structural and physiological determinants of coronary hemodynamics.</w:t>
      </w:r>
    </w:p>
    <w:p w14:paraId="219E66E1" w14:textId="77777777" w:rsidR="009A6F22" w:rsidRDefault="009A6F22" w:rsidP="009A6F22">
      <w:pPr>
        <w:pStyle w:val="MdSpace"/>
        <w:spacing w:after="60"/>
      </w:pPr>
    </w:p>
    <w:p w14:paraId="54DD837A" w14:textId="77777777" w:rsidR="009A6F22" w:rsidRDefault="009A6F22" w:rsidP="009A6F22">
      <w:pPr>
        <w:pStyle w:val="MdHeading3"/>
      </w:pPr>
      <w:r>
        <w:t>3.3 Patient-Specific Conditioning Variables</w:t>
      </w:r>
    </w:p>
    <w:p w14:paraId="5109D2EF" w14:textId="77777777" w:rsidR="009A6F22" w:rsidRDefault="009A6F22" w:rsidP="009A6F22">
      <w:pPr>
        <w:pStyle w:val="MdParagraph"/>
      </w:pPr>
      <w:r>
        <w:t>For GAN-based patient-specific FFR adjustment, additional conditioning variables beyond anatomical features are essential. These variables capture individual physiological characteristics that modulate the relationship between anatomy and hemodynamics. Recommended conditioning variables include demographic factors (age, sex), clinical comorbidities (diabetes mellitus, hypertension, obesity, prior cardiovascular disease), medication history (anticoagulants, statins, beta-blockers, ACE inhibitors), and multicentric data origin (site identifier, scanner type, imaging protocol). The selection and encoding of conditioning variables requires careful consideration. Continuous variables such as age can be used directly or binned into clinically meaningful categories (e.g., &lt; 50, 50-65, &gt; 65 years). Binary variables such as diabetes status are straightforward to encode. Categorical variables such as site identifier should be encoded using one-hot encoding or learned embeddings. Missing data is a practical challenge in clinical datasets; strategies include multiple imputation, inclusion of missingness indicators, or hierarchical conditioning where the model uses available variables and gracefully handles missing values.</w:t>
      </w:r>
    </w:p>
    <w:p w14:paraId="00EDFF15" w14:textId="77777777" w:rsidR="009A6F22" w:rsidRDefault="009A6F22" w:rsidP="009A6F22">
      <w:pPr>
        <w:pStyle w:val="MdSpace"/>
        <w:spacing w:after="60"/>
      </w:pPr>
    </w:p>
    <w:p w14:paraId="455F7D74" w14:textId="77777777" w:rsidR="009A6F22" w:rsidRDefault="009A6F22" w:rsidP="009A6F22">
      <w:pPr>
        <w:pStyle w:val="MdHeading3"/>
      </w:pPr>
      <w:r>
        <w:t>3.4 Target Labels: Invasive FFR Measurements</w:t>
      </w:r>
    </w:p>
    <w:p w14:paraId="7B5CA727" w14:textId="77777777" w:rsidR="009A6F22" w:rsidRDefault="009A6F22" w:rsidP="009A6F22">
      <w:pPr>
        <w:pStyle w:val="MdParagraph"/>
      </w:pPr>
      <w:r>
        <w:t xml:space="preserve">The primary target label for FFR prediction models is invasively measured FFR, considered the clinical gold standard for assessing hemodynamic significance of coronary stenoses. Invasive FFR is measured during cardiac catheterization using a pressure wire advanced distal to the stenosis. Under maximal hyperemia induced by adenosine administration, FFR is calculated as the ratio of distal coronary pressure to aortic pressure. The clinical decision </w:t>
      </w:r>
      <w:r>
        <w:lastRenderedPageBreak/>
        <w:t>threshold is FFR ≤ 0.80, below which stenoses are considered hemodynamically significant and revascularization is typically indicated. For dataset construction, invasive FFR measurements should be carefully documented with associated metadata including measurement location (identified from angiography or marked relative to stenosis), hyperemic agent used (intravenous adenosine, intracoronary adenosine, or alternative vasodilators), quality of hyperemia achieved (assessed by coronary flow velocity or pressure tracings), and measurement reliability (stable pressure tracings without artifacts). The FFR value can be used both as a continuous regression target and as a binary classification label (ischemic vs. non-ischemic based on the 0.80 threshold).</w:t>
      </w:r>
    </w:p>
    <w:p w14:paraId="2C856A92" w14:textId="77777777" w:rsidR="009A6F22" w:rsidRDefault="009A6F22" w:rsidP="009A6F22">
      <w:pPr>
        <w:pStyle w:val="MdHeading3"/>
      </w:pPr>
      <w:r>
        <w:t>3.5 Computational Labels from CFD Simulation</w:t>
      </w:r>
    </w:p>
    <w:p w14:paraId="15562FFE" w14:textId="77777777" w:rsidR="009A6F22" w:rsidRDefault="009A6F22" w:rsidP="009A6F22">
      <w:pPr>
        <w:pStyle w:val="MdParagraph"/>
      </w:pPr>
      <w:r>
        <w:t>The use of CFD-generated labels for synthetic data training is well-validated, with previous studies demonstrating that CFD-based FFR predictions achieve 75-85% diagnostic accuracy compared to invasive FFR. However, it is important to recognize that CFD labels represent idealized hemodynamics under standardized assumptions, and may not fully capture patient-specific physiological variability. This limitation motivates the GAN-based adjustment approach, where the baseline CNN trained on CFD-labeled synthetic data is refined using real patient data with invasive FFR measurements.</w:t>
      </w:r>
    </w:p>
    <w:p w14:paraId="267BEBA8" w14:textId="77777777" w:rsidR="009A6F22" w:rsidRDefault="009A6F22" w:rsidP="009A6F22">
      <w:pPr>
        <w:pStyle w:val="MdHr"/>
        <w:pBdr>
          <w:bottom w:val="single" w:sz="6" w:space="1" w:color="auto"/>
        </w:pBdr>
      </w:pPr>
    </w:p>
    <w:p w14:paraId="7B0C5156" w14:textId="77777777" w:rsidR="009A6F22" w:rsidRDefault="009A6F22" w:rsidP="009A6F22">
      <w:pPr>
        <w:pStyle w:val="MdSpace"/>
        <w:spacing w:after="60"/>
      </w:pPr>
    </w:p>
    <w:p w14:paraId="2299511F" w14:textId="77777777" w:rsidR="009A6F22" w:rsidRDefault="009A6F22" w:rsidP="009A6F22">
      <w:pPr>
        <w:pStyle w:val="MdHeading2"/>
      </w:pPr>
      <w:r>
        <w:t>4. Data Structure and Format Specifications</w:t>
      </w:r>
    </w:p>
    <w:p w14:paraId="6EC9D5EB" w14:textId="77777777" w:rsidR="009A6F22" w:rsidRDefault="009A6F22" w:rsidP="009A6F22">
      <w:pPr>
        <w:pStyle w:val="MdParagraph"/>
      </w:pPr>
      <w:r>
        <w:t>Proper data structure and format specifications ensure that datasets are organized, accessible, and interoperable. Standardized formats facilitate data sharing, collaborative research, and integration with analysis software.</w:t>
      </w:r>
    </w:p>
    <w:p w14:paraId="50209966" w14:textId="77777777" w:rsidR="009A6F22" w:rsidRDefault="009A6F22" w:rsidP="009A6F22">
      <w:pPr>
        <w:pStyle w:val="MdSpace"/>
        <w:spacing w:after="60"/>
      </w:pPr>
    </w:p>
    <w:p w14:paraId="0DA9AFCE" w14:textId="77777777" w:rsidR="009A6F22" w:rsidRDefault="009A6F22" w:rsidP="009A6F22">
      <w:pPr>
        <w:pStyle w:val="MdHeading3"/>
      </w:pPr>
      <w:r>
        <w:t>4.1 Hierarchical Data Organization</w:t>
      </w:r>
    </w:p>
    <w:p w14:paraId="41CA2BD5" w14:textId="74EBA099" w:rsidR="009A6F22" w:rsidRDefault="009A6F22" w:rsidP="009A6F22">
      <w:pPr>
        <w:pStyle w:val="MdParagraph"/>
      </w:pPr>
      <w:r>
        <w:t>FFR prediction datasets are naturally hierarchical, with data organized at multiple levels. At the patient level, each patient has a unique identifier and associated demographic and clinical characteristics (age, sex, body mass index, cardiovascular risk factors, comorbidities, medications). At the imaging study level, each patient may have one or more CCTA studies, each with associated imaging parameters (scanner type, acquisition date, contrast protocol, radiation dose). At the vessel level, each patient typically has three major coronary vessels (LAD, LC</w:t>
      </w:r>
      <w:r w:rsidR="0009610E">
        <w:t>A</w:t>
      </w:r>
      <w:r>
        <w:t>, RCA) that can be analyzed independently. At the lesion level, individual stenotic lesions within each vessel are characterized by anatomical features and hemodynamic measurements [3][4].</w:t>
      </w:r>
    </w:p>
    <w:p w14:paraId="0400547D" w14:textId="77777777" w:rsidR="009A6F22" w:rsidRDefault="009A6F22" w:rsidP="009A6F22">
      <w:pPr>
        <w:pStyle w:val="MdSpace"/>
        <w:spacing w:after="60"/>
      </w:pPr>
    </w:p>
    <w:p w14:paraId="1BB5E52D" w14:textId="77777777" w:rsidR="009A6F22" w:rsidRDefault="009A6F22" w:rsidP="009A6F22">
      <w:pPr>
        <w:pStyle w:val="MdParagraph"/>
      </w:pPr>
      <w:r>
        <w:t>This hierarchical structure should be explicitly represented in the dataset organization. A relational database structure with linked tables is appropriate: a patient table containing patient-level information, an imaging study table containing study-level information linked to patients via patient ID, a vessel table containing vessel-level information linked to studies via study ID, and a lesion table containing lesion-level information linked to vessels via vessel ID. Alternatively, a nested file structure can be used, with directories organized by patient ID, subdirectories for each imaging study, and files for each vessel or lesion.</w:t>
      </w:r>
    </w:p>
    <w:p w14:paraId="2C25B7CE" w14:textId="77777777" w:rsidR="009A6F22" w:rsidRDefault="009A6F22" w:rsidP="009A6F22">
      <w:pPr>
        <w:pStyle w:val="MdSpace"/>
        <w:spacing w:after="60"/>
      </w:pPr>
    </w:p>
    <w:p w14:paraId="3E09261D" w14:textId="77777777" w:rsidR="009A6F22" w:rsidRDefault="009A6F22" w:rsidP="009A6F22">
      <w:pPr>
        <w:pStyle w:val="MdHeading3"/>
      </w:pPr>
      <w:r>
        <w:t>4.2 Tabular Feature Representation</w:t>
      </w:r>
    </w:p>
    <w:p w14:paraId="0007FCEF" w14:textId="77777777" w:rsidR="009A6F22" w:rsidRDefault="009A6F22" w:rsidP="009A6F22">
      <w:pPr>
        <w:pStyle w:val="MdParagraph"/>
      </w:pPr>
      <w:r>
        <w:t>For machine learning model training, anatomical features are typically represented in tabular format where rows correspond to samples (centerline points, vessels, or lesions) and columns correspond to features. A geometric feature-based study used 28 columns representing the different features computed from coronary anatomy [1]. A plaque-based study used 19 columns representing quantitative plaque measurements [2].</w:t>
      </w:r>
    </w:p>
    <w:p w14:paraId="4D7EFA7F" w14:textId="77777777" w:rsidR="009A6F22" w:rsidRDefault="009A6F22" w:rsidP="009A6F22">
      <w:pPr>
        <w:pStyle w:val="MdSpace"/>
        <w:spacing w:after="60"/>
      </w:pPr>
    </w:p>
    <w:p w14:paraId="1B5CB148" w14:textId="77777777" w:rsidR="009A6F22" w:rsidRDefault="009A6F22" w:rsidP="009A6F22">
      <w:pPr>
        <w:pStyle w:val="MdParagraph"/>
      </w:pPr>
      <w:r>
        <w:t>The tabular format should include metadata columns identifying the sample (patient ID, vessel ID, centerline point location) and feature columns containing the quantitative measurements. For vessel-level analysis, each row represents one vessel with its associated features and labels. For point-level analysis, each row represents one location along the coronary centerline with local, upstream, and downstream features.</w:t>
      </w:r>
    </w:p>
    <w:p w14:paraId="4E09E1C9" w14:textId="77777777" w:rsidR="009A6F22" w:rsidRDefault="009A6F22" w:rsidP="009A6F22">
      <w:pPr>
        <w:pStyle w:val="MdSpace"/>
        <w:spacing w:after="60"/>
      </w:pPr>
    </w:p>
    <w:p w14:paraId="6C27B28F" w14:textId="77777777" w:rsidR="009A6F22" w:rsidRDefault="009A6F22" w:rsidP="009A6F22">
      <w:pPr>
        <w:pStyle w:val="MdParagraph"/>
      </w:pPr>
      <w:r>
        <w:t>Tabular data is typically stored in comma-separated values (CSV) format for simplicity and interoperability, or in more efficient binary formats such as HDF5 or Parquet for large datasets. The file should include a header row with column names.</w:t>
      </w:r>
    </w:p>
    <w:p w14:paraId="49FA1049" w14:textId="77777777" w:rsidR="009A6F22" w:rsidRDefault="009A6F22" w:rsidP="009A6F22">
      <w:pPr>
        <w:pStyle w:val="MdHeading3"/>
      </w:pPr>
      <w:r>
        <w:t>4.3 Unique Identifiers and Linking</w:t>
      </w:r>
    </w:p>
    <w:p w14:paraId="194F8F92" w14:textId="77777777" w:rsidR="009A6F22" w:rsidRDefault="009A6F22" w:rsidP="009A6F22">
      <w:pPr>
        <w:pStyle w:val="MdParagraph"/>
      </w:pPr>
      <w:r>
        <w:t>To maintain relationships between different data elements, a consistent system of unique identifiers is essential. Each patient should have a unique patient ID that links all data elements associated with that patient. Each imaging study should have a unique study ID. Each vessel should have a unique vessel ID. These identifiers enable joining of data from different tables or files [3].</w:t>
      </w:r>
    </w:p>
    <w:p w14:paraId="1C439FB8" w14:textId="77777777" w:rsidR="009A6F22" w:rsidRDefault="009A6F22" w:rsidP="009A6F22">
      <w:pPr>
        <w:pStyle w:val="MdSpace"/>
        <w:spacing w:after="60"/>
      </w:pPr>
    </w:p>
    <w:p w14:paraId="69531ADA" w14:textId="6C90F1D6" w:rsidR="009A6F22" w:rsidRDefault="009A6F22" w:rsidP="009A6F22">
      <w:pPr>
        <w:pStyle w:val="MdParagraph"/>
      </w:pPr>
      <w:r>
        <w:t>For datasets derived from clinical trials, identifiers should be cross-referenced with trial registration to enable linkage with published trial results and to facilitate data sharing. For datasets intended for public release, identifiers must be de-identified to protect patient privacy, using randomly generated codes rather than any information that could be linked back to individual patients.</w:t>
      </w:r>
    </w:p>
    <w:p w14:paraId="343A0233" w14:textId="77777777" w:rsidR="009A6F22" w:rsidRDefault="009A6F22" w:rsidP="009A6F22">
      <w:pPr>
        <w:pStyle w:val="MdParagraph"/>
      </w:pPr>
    </w:p>
    <w:p w14:paraId="307332AC" w14:textId="77777777" w:rsidR="009A6F22" w:rsidRDefault="009A6F22" w:rsidP="009A6F22">
      <w:pPr>
        <w:pStyle w:val="MdParagraph"/>
      </w:pPr>
      <w:r w:rsidRPr="00C80718">
        <w:t>In alignment with best practices outlined in recent reviews of medical imaging datasets [5][6], all FFR prediction datasets should adhere to standardized documentation and interoperability frameworks such as the FAIR (Findable, Accessible, Interoperable, and Reusable) data principles. This includes maintaining comprehensive metadata records describing dataset composition, acquisition parameters, preprocessing steps, and licensing conditions. Proper data versioning and structured dataset documentation (e.g., “datasheets for datasets”) ensure transparency and reproducibility while enabling controlled data sharing for future research within ethical and regulatory boundaries.</w:t>
      </w:r>
    </w:p>
    <w:p w14:paraId="4E6BC9A6" w14:textId="77777777" w:rsidR="009A6F22" w:rsidRDefault="009A6F22" w:rsidP="009A6F22">
      <w:pPr>
        <w:pStyle w:val="MdHr"/>
        <w:pBdr>
          <w:bottom w:val="single" w:sz="6" w:space="1" w:color="auto"/>
        </w:pBdr>
      </w:pPr>
    </w:p>
    <w:p w14:paraId="1823C4FE" w14:textId="77777777" w:rsidR="009A6F22" w:rsidRDefault="009A6F22" w:rsidP="009A6F22">
      <w:pPr>
        <w:pStyle w:val="MdSpace"/>
        <w:spacing w:after="60"/>
      </w:pPr>
    </w:p>
    <w:p w14:paraId="2F48F607" w14:textId="77777777" w:rsidR="009A6F22" w:rsidRDefault="009A6F22" w:rsidP="009A6F22">
      <w:pPr>
        <w:pStyle w:val="MdHeading2"/>
      </w:pPr>
      <w:r>
        <w:lastRenderedPageBreak/>
        <w:t>5. Implementation Recommendations for FFR-GAN Projects</w:t>
      </w:r>
    </w:p>
    <w:p w14:paraId="1D133566" w14:textId="77777777" w:rsidR="009A6F22" w:rsidRDefault="009A6F22" w:rsidP="009A6F22">
      <w:pPr>
        <w:pStyle w:val="MdParagraph"/>
      </w:pPr>
      <w:r>
        <w:t>This section provides specific recommendations for implementing dataset construction methodologies in FFR-GAN projects that incorporate patient-specific adjustment and multicentric variability modeling.</w:t>
      </w:r>
    </w:p>
    <w:p w14:paraId="04F44F24" w14:textId="77777777" w:rsidR="009A6F22" w:rsidRDefault="009A6F22" w:rsidP="009A6F22">
      <w:pPr>
        <w:pStyle w:val="MdSpace"/>
        <w:spacing w:after="60"/>
      </w:pPr>
    </w:p>
    <w:p w14:paraId="2B8CDDB0" w14:textId="77777777" w:rsidR="009A6F22" w:rsidRDefault="009A6F22" w:rsidP="009A6F22">
      <w:pPr>
        <w:pStyle w:val="MdHeading3"/>
      </w:pPr>
      <w:r>
        <w:t>5.1 Hybrid Synthetic-Clinical Data Strategy</w:t>
      </w:r>
    </w:p>
    <w:p w14:paraId="562178F6" w14:textId="77777777" w:rsidR="009A6F22" w:rsidRDefault="009A6F22" w:rsidP="009A6F22">
      <w:pPr>
        <w:pStyle w:val="MdParagraph"/>
      </w:pPr>
      <w:r>
        <w:t>For FFR-GAN projects, a recommended dataset construction strategy combines synthetic data for baseline CNN training with clinical data for GAN refinement. The implementation proceeds in three stages.</w:t>
      </w:r>
    </w:p>
    <w:p w14:paraId="5D2A4EE8" w14:textId="77777777" w:rsidR="009A6F22" w:rsidRDefault="009A6F22" w:rsidP="009A6F22">
      <w:pPr>
        <w:pStyle w:val="MdSpace"/>
        <w:spacing w:after="60"/>
      </w:pPr>
    </w:p>
    <w:p w14:paraId="3B21F672" w14:textId="77777777" w:rsidR="009A6F22" w:rsidRDefault="009A6F22" w:rsidP="009A6F22">
      <w:pPr>
        <w:pStyle w:val="MdParagraph"/>
      </w:pPr>
      <w:r>
        <w:rPr>
          <w:rStyle w:val="MdStrong"/>
        </w:rPr>
        <w:t>Stage 1: Synthetic Data Generation for Baseline CNN Training.</w:t>
      </w:r>
      <w:r>
        <w:t xml:space="preserve"> Generate a large-scale synthetic dataset (10,000-20,000 coronary trees) using the algorithmic approach described in Section 2.1. Use computational fluid dynamics to compute FFR labels at all centerline locations. Extract geometric features (28-dimensional feature vectors) at each location. Train the baseline CNN model to predict FFR from geometric features, achieving strong performance on synthetic data and establishing the fundamental anatomy-to-hemodynamics mapping.</w:t>
      </w:r>
    </w:p>
    <w:p w14:paraId="20F836ED" w14:textId="77777777" w:rsidR="009A6F22" w:rsidRDefault="009A6F22" w:rsidP="009A6F22">
      <w:pPr>
        <w:pStyle w:val="MdSpace"/>
        <w:spacing w:after="60"/>
      </w:pPr>
    </w:p>
    <w:p w14:paraId="6D5FEED2" w14:textId="77777777" w:rsidR="009A6F22" w:rsidRDefault="009A6F22" w:rsidP="009A6F22">
      <w:pPr>
        <w:pStyle w:val="MdParagraph"/>
      </w:pPr>
      <w:r>
        <w:rPr>
          <w:rStyle w:val="MdStrong"/>
        </w:rPr>
        <w:t>Stage 2: Clinical Data Collection for GAN Training.</w:t>
      </w:r>
      <w:r>
        <w:t xml:space="preserve"> Collect multicenter clinical data including CCTA images, invasive FFR measurements, and patient-specific conditioning variables (demographics, comorbidities, site identifiers). Aim for at least 200-300 vessels across 3-5 clinical centers to ensure adequate representation of patient variability and multicentric effects. Preprocess clinical data following the pipeline in Section 4, extracting the same geometric features used for baseline CNN training.</w:t>
      </w:r>
    </w:p>
    <w:p w14:paraId="1459EE7F" w14:textId="77777777" w:rsidR="009A6F22" w:rsidRDefault="009A6F22" w:rsidP="009A6F22">
      <w:pPr>
        <w:pStyle w:val="MdSpace"/>
        <w:spacing w:after="60"/>
      </w:pPr>
    </w:p>
    <w:p w14:paraId="591F2985" w14:textId="77777777" w:rsidR="009A6F22" w:rsidRDefault="009A6F22" w:rsidP="009A6F22">
      <w:pPr>
        <w:pStyle w:val="MdParagraph"/>
      </w:pPr>
      <w:r>
        <w:rPr>
          <w:rStyle w:val="MdStrong"/>
        </w:rPr>
        <w:t>Stage 3: GAN Training for Patient-Specific Adjustment.</w:t>
      </w:r>
      <w:r>
        <w:t xml:space="preserve"> Use the clinical dataset to train the conditional GAN. The generator takes as input the baseline CNN FFR prediction and patient-specific conditioning variables, and outputs an adjusted FFR value. The discriminator distinguishes between GAN-adjusted FFR (conditioned on patient characteristics) and real invasive FFR measurements. Train using a multi-component loss function including adversarial loss, reconstruction loss (maintaining proximity to baseline CNN), and physiological constraint loss (enforcing FFR range [0,1], monotonicity, boundary conditions).</w:t>
      </w:r>
    </w:p>
    <w:p w14:paraId="1B88B3AD" w14:textId="77777777" w:rsidR="009A6F22" w:rsidRDefault="009A6F22" w:rsidP="009A6F22">
      <w:pPr>
        <w:pStyle w:val="MdSpace"/>
        <w:spacing w:after="60"/>
      </w:pPr>
    </w:p>
    <w:p w14:paraId="6661BDF3" w14:textId="77777777" w:rsidR="009A6F22" w:rsidRDefault="009A6F22" w:rsidP="009A6F22">
      <w:pPr>
        <w:pStyle w:val="MdParagraph"/>
      </w:pPr>
      <w:r>
        <w:t>This hybrid strategy leverages the strengths of both data types: synthetic data provides large-scale training for learning anatomical features, while clinical data captures patient-specific and multicentric effects that synthetic models cannot fully replicate.</w:t>
      </w:r>
    </w:p>
    <w:p w14:paraId="4EC105C4" w14:textId="77777777" w:rsidR="009A6F22" w:rsidRDefault="009A6F22" w:rsidP="009A6F22">
      <w:pPr>
        <w:pStyle w:val="MdSpace"/>
        <w:spacing w:after="60"/>
      </w:pPr>
    </w:p>
    <w:p w14:paraId="5E071F05" w14:textId="77777777" w:rsidR="009A6F22" w:rsidRDefault="009A6F22" w:rsidP="009A6F22">
      <w:pPr>
        <w:pStyle w:val="MdHeading3"/>
      </w:pPr>
      <w:r>
        <w:t>5.2 Patient-Specific Conditioning Variable Selection</w:t>
      </w:r>
    </w:p>
    <w:p w14:paraId="523DF575" w14:textId="77777777" w:rsidR="009A6F22" w:rsidRDefault="009A6F22" w:rsidP="009A6F22">
      <w:pPr>
        <w:pStyle w:val="MdParagraph"/>
      </w:pPr>
      <w:r>
        <w:t>For the GAN generator, conditioning variables should be selected based on clinical relevance, data availability, and feature importance analysis. Recommended conditioning variables are organized into tiers.</w:t>
      </w:r>
    </w:p>
    <w:p w14:paraId="2DFE5FE6" w14:textId="77777777" w:rsidR="009A6F22" w:rsidRDefault="009A6F22" w:rsidP="009A6F22">
      <w:pPr>
        <w:pStyle w:val="MdSpace"/>
        <w:spacing w:after="60"/>
      </w:pPr>
    </w:p>
    <w:p w14:paraId="12B1BE98" w14:textId="77777777" w:rsidR="009A6F22" w:rsidRDefault="009A6F22" w:rsidP="009A6F22">
      <w:pPr>
        <w:pStyle w:val="MdParagraph"/>
      </w:pPr>
      <w:r>
        <w:rPr>
          <w:rStyle w:val="MdStrong"/>
        </w:rPr>
        <w:lastRenderedPageBreak/>
        <w:t>Tier 1 (Essential, Universally Available):</w:t>
      </w:r>
      <w:r>
        <w:t xml:space="preserve"> Age (continuous or binned: &lt; 50, 50-65, 65-75, &gt; 75 years), sex (binary: male/female), and site identifier (categorical: one-hot encoded or learned embeddings for each clinical center). These variables should be available for all patients and provide foundational patient-specific and multicentric information.</w:t>
      </w:r>
    </w:p>
    <w:p w14:paraId="47E97DFF" w14:textId="77777777" w:rsidR="009A6F22" w:rsidRDefault="009A6F22" w:rsidP="009A6F22">
      <w:pPr>
        <w:pStyle w:val="MdSpace"/>
        <w:spacing w:after="60"/>
      </w:pPr>
    </w:p>
    <w:p w14:paraId="639382FD" w14:textId="77777777" w:rsidR="009A6F22" w:rsidRDefault="009A6F22" w:rsidP="009A6F22">
      <w:pPr>
        <w:pStyle w:val="MdParagraph"/>
      </w:pPr>
      <w:r>
        <w:rPr>
          <w:rStyle w:val="MdStrong"/>
        </w:rPr>
        <w:t>Tier 2 (High Clinical Relevance, Commonly Available):</w:t>
      </w:r>
      <w:r>
        <w:t xml:space="preserve"> Diabetes mellitus (binary: present/absent), hypertension (binary: present/absent), and body mass index (continuous or categorical: normal &lt; 25, overweight 25-30, obese &gt; 30 kg/m²). These comorbidities are well-documented to affect coronary physiology and microvascular function, and are typically documented in clinical records.</w:t>
      </w:r>
    </w:p>
    <w:p w14:paraId="2D151E92" w14:textId="77777777" w:rsidR="009A6F22" w:rsidRDefault="009A6F22" w:rsidP="009A6F22">
      <w:pPr>
        <w:pStyle w:val="MdSpace"/>
        <w:spacing w:after="60"/>
      </w:pPr>
    </w:p>
    <w:p w14:paraId="1E4287C8" w14:textId="77777777" w:rsidR="009A6F22" w:rsidRDefault="009A6F22" w:rsidP="009A6F22">
      <w:pPr>
        <w:pStyle w:val="MdParagraph"/>
      </w:pPr>
      <w:r>
        <w:rPr>
          <w:rStyle w:val="MdStrong"/>
        </w:rPr>
        <w:t>Tier 3 (Additional Clinical Context, Variable Availability):</w:t>
      </w:r>
      <w:r>
        <w:t xml:space="preserve"> Prior cardiovascular disease (binary: prior myocardial infarction, revascularization, or stroke), obesity (binary: BMI &gt; 30), current smoking (binary: active smoker), hyperlipidemia (binary: diagnosed or on lipid-lowering therapy), and medication history (binary indicators for anticoagulants, statins, beta-blockers, ACE inhibitors).</w:t>
      </w:r>
    </w:p>
    <w:p w14:paraId="795FB4BB" w14:textId="77777777" w:rsidR="009A6F22" w:rsidRDefault="009A6F22" w:rsidP="009A6F22">
      <w:pPr>
        <w:pStyle w:val="MdSpace"/>
        <w:spacing w:after="60"/>
      </w:pPr>
    </w:p>
    <w:p w14:paraId="67A56929" w14:textId="77777777" w:rsidR="009A6F22" w:rsidRDefault="009A6F22" w:rsidP="009A6F22">
      <w:pPr>
        <w:pStyle w:val="MdParagraph"/>
      </w:pPr>
      <w:r>
        <w:t>The conditioning variable selection should be informed by ablation studies that systematically assess the contribution of each variable to GAN performance. Variables that provide minimal predictive improvement can be excluded to simplify the model and reduce data requirements.</w:t>
      </w:r>
    </w:p>
    <w:p w14:paraId="4FC03438" w14:textId="77777777" w:rsidR="009A6F22" w:rsidRDefault="009A6F22" w:rsidP="009A6F22">
      <w:pPr>
        <w:pStyle w:val="MdSpace"/>
        <w:spacing w:after="60"/>
      </w:pPr>
    </w:p>
    <w:p w14:paraId="1BA01885" w14:textId="77777777" w:rsidR="009A6F22" w:rsidRDefault="009A6F22" w:rsidP="009A6F22">
      <w:pPr>
        <w:pStyle w:val="MdHr"/>
        <w:pBdr>
          <w:bottom w:val="single" w:sz="6" w:space="1" w:color="auto"/>
        </w:pBdr>
      </w:pPr>
    </w:p>
    <w:p w14:paraId="67D9676D" w14:textId="77777777" w:rsidR="009A6F22" w:rsidRDefault="009A6F22" w:rsidP="009A6F22">
      <w:pPr>
        <w:pStyle w:val="MdSpace"/>
        <w:spacing w:after="60"/>
      </w:pPr>
    </w:p>
    <w:p w14:paraId="1A61BAE2" w14:textId="77777777" w:rsidR="009A6F22" w:rsidRDefault="009A6F22" w:rsidP="009A6F22">
      <w:pPr>
        <w:pStyle w:val="MdHeading2"/>
      </w:pPr>
      <w:r>
        <w:t>6. Conclusion</w:t>
      </w:r>
    </w:p>
    <w:p w14:paraId="324B345D" w14:textId="54856134" w:rsidR="009A6F22" w:rsidRDefault="009A6F22" w:rsidP="009A6F22">
      <w:pPr>
        <w:pStyle w:val="MdParagraph"/>
      </w:pPr>
      <w:r>
        <w:t>Dataset construction for machine learning-based fractional flow reserve prediction requires careful attention to multiple dimensions including data source selection, feature engineering, preprocessing pipelines, labeling methodologies, data structure. This report has synthesized methodologies from six representative studies to provide comprehensive guidance for researchers developing FFR prediction models, particularly those incorporating generative adversarial networks for patient-specific adjustment.</w:t>
      </w:r>
    </w:p>
    <w:p w14:paraId="0A249979" w14:textId="77777777" w:rsidR="009A6F22" w:rsidRDefault="009A6F22" w:rsidP="009A6F22">
      <w:pPr>
        <w:pStyle w:val="MdSpace"/>
        <w:spacing w:after="60"/>
      </w:pPr>
    </w:p>
    <w:p w14:paraId="39206796" w14:textId="77777777" w:rsidR="009A6F22" w:rsidRDefault="009A6F22" w:rsidP="009A6F22">
      <w:pPr>
        <w:pStyle w:val="MdParagraph"/>
      </w:pPr>
      <w:r>
        <w:t>The key recommendations for FFR-GAN projects are as follows. First, employ a hybrid data strategy combining large-scale synthetic data for baseline CNN training with multicenter clinical data for GAN refinement. This approach leverages the complementary strengths of both data types while addressing their respective limitations. Second, incorporate patient-specific conditioning variables (demographics, comorbidities, site identifiers) as inputs to the GAN generator, enabling the model to learn individualized FFR adjustments beyond what anatomical features alone can predict. Third, implement rigorous multicentric validation using leave-one-center-out cross-validation to ensure that the model generalizes across diverse clinical settings. Fourth, integrate explainability methods such as SHAP analysis to provide clinically interpretable explanations of patient-specific adjustments. Fifth, optimize computational efficiency to achieve processing times under 30 minutes on standard workstations, ensuring clinical feasibility. Sixth, validate comprehensively against multiple benchmarks and performance metrics, stratified by patient subgroups and clinical centers.</w:t>
      </w:r>
    </w:p>
    <w:p w14:paraId="2B32BAE9" w14:textId="77777777" w:rsidR="009A6F22" w:rsidRDefault="009A6F22" w:rsidP="009A6F22">
      <w:pPr>
        <w:pStyle w:val="MdSpace"/>
        <w:spacing w:after="60"/>
      </w:pPr>
    </w:p>
    <w:p w14:paraId="5439592E" w14:textId="77777777" w:rsidR="009A6F22" w:rsidRDefault="009A6F22" w:rsidP="009A6F22">
      <w:pPr>
        <w:pStyle w:val="MdParagraph"/>
      </w:pPr>
      <w:r>
        <w:t>The methodologies presented in this report provide a foundation for constructing high-quality datasets that support the development of accurate, reliable, and clinically useful AI-based FFR prediction tools. By following these guidelines, researchers can advance the state of the art in noninvasive coronary assessment, ultimately improving patient care through personalized, data-driven cardiovascular medicine.</w:t>
      </w:r>
    </w:p>
    <w:p w14:paraId="371F2010" w14:textId="77777777" w:rsidR="009A6F22" w:rsidRDefault="009A6F22" w:rsidP="009A6F22">
      <w:pPr>
        <w:pStyle w:val="MdSpace"/>
        <w:spacing w:after="60"/>
      </w:pPr>
    </w:p>
    <w:p w14:paraId="401DE44C" w14:textId="77777777" w:rsidR="009A6F22" w:rsidRDefault="009A6F22" w:rsidP="009A6F22">
      <w:pPr>
        <w:pStyle w:val="MdHr"/>
        <w:pBdr>
          <w:bottom w:val="single" w:sz="6" w:space="1" w:color="auto"/>
        </w:pBdr>
      </w:pPr>
    </w:p>
    <w:p w14:paraId="55CC1352" w14:textId="77777777" w:rsidR="009A6F22" w:rsidRDefault="009A6F22" w:rsidP="009A6F22">
      <w:pPr>
        <w:pStyle w:val="MdSpace"/>
        <w:spacing w:after="60"/>
      </w:pPr>
    </w:p>
    <w:p w14:paraId="110E1738" w14:textId="77777777" w:rsidR="009A6F22" w:rsidRDefault="009A6F22" w:rsidP="009A6F22">
      <w:pPr>
        <w:pStyle w:val="MdHeading2"/>
      </w:pPr>
      <w:r>
        <w:t>7. References</w:t>
      </w:r>
    </w:p>
    <w:p w14:paraId="649D7E6E" w14:textId="77777777" w:rsidR="009A6F22" w:rsidRDefault="009A6F22" w:rsidP="009A6F22">
      <w:pPr>
        <w:pStyle w:val="MdParagraph"/>
      </w:pPr>
      <w:r>
        <w:t xml:space="preserve">[1] Itu L, Rapaka S, Passerini T, et al. A machine-learning approach for computation of fractional flow reserve from coronary computed tomography. </w:t>
      </w:r>
      <w:r>
        <w:rPr>
          <w:rStyle w:val="MdEm"/>
        </w:rPr>
        <w:t>Journal of Applied Physiology</w:t>
      </w:r>
      <w:r>
        <w:t xml:space="preserve">. 2016;121(1):42-52. Available at: </w:t>
      </w:r>
      <w:hyperlink r:id="rId5" w:history="1">
        <w:r>
          <w:rPr>
            <w:rStyle w:val="MdLink"/>
          </w:rPr>
          <w:t>https://journals.physiology.org/doi/full/10.1152/japplphysiol.00752.2015</w:t>
        </w:r>
      </w:hyperlink>
    </w:p>
    <w:p w14:paraId="09083FEB" w14:textId="77777777" w:rsidR="009A6F22" w:rsidRDefault="009A6F22" w:rsidP="009A6F22">
      <w:pPr>
        <w:pStyle w:val="MdSpace"/>
        <w:spacing w:after="60"/>
      </w:pPr>
    </w:p>
    <w:p w14:paraId="1C88DAD0" w14:textId="77777777" w:rsidR="009A6F22" w:rsidRDefault="009A6F22" w:rsidP="009A6F22">
      <w:pPr>
        <w:pStyle w:val="MdParagraph"/>
      </w:pPr>
      <w:r>
        <w:t xml:space="preserve">[2] Nous FM, Coenen A, Boersma E, et al. Machine Learning From Quantitative Coronary Computed Tomography Angiography Predicts Fractional Flow Reserve–Defined Ischemia and Impaired Myocardial Blood Flow. </w:t>
      </w:r>
      <w:r>
        <w:rPr>
          <w:rStyle w:val="MdEm"/>
        </w:rPr>
        <w:t>Circulation: Cardiovascular Imaging</w:t>
      </w:r>
      <w:r>
        <w:t xml:space="preserve">. 2023;16(1):e014369. Available at: </w:t>
      </w:r>
      <w:hyperlink r:id="rId6" w:history="1">
        <w:r>
          <w:rPr>
            <w:rStyle w:val="MdLink"/>
          </w:rPr>
          <w:t>https://www.ahajournals.org/doi/10.1161/CIRCIMAGING.122.014369</w:t>
        </w:r>
      </w:hyperlink>
    </w:p>
    <w:p w14:paraId="493F1921" w14:textId="77777777" w:rsidR="009A6F22" w:rsidRDefault="009A6F22" w:rsidP="009A6F22">
      <w:pPr>
        <w:pStyle w:val="MdSpace"/>
        <w:spacing w:after="60"/>
      </w:pPr>
    </w:p>
    <w:p w14:paraId="14B3F057" w14:textId="77777777" w:rsidR="009A6F22" w:rsidRDefault="009A6F22" w:rsidP="009A6F22">
      <w:pPr>
        <w:pStyle w:val="MdParagraph"/>
      </w:pPr>
      <w:r>
        <w:t xml:space="preserve">[3] Wang R, Yu W, Wang Y, et al. Diagnostic performance of the quantitative flow ratio and CT-FFR for coronary lesion-specific ischemia: a systematic review and meta-analysis. </w:t>
      </w:r>
      <w:r>
        <w:rPr>
          <w:rStyle w:val="MdEm"/>
        </w:rPr>
        <w:t>Scientific Reports</w:t>
      </w:r>
      <w:r>
        <w:t xml:space="preserve">. 2024;14:16953. Available at: </w:t>
      </w:r>
      <w:hyperlink r:id="rId7" w:history="1">
        <w:r>
          <w:rPr>
            <w:rStyle w:val="MdLink"/>
          </w:rPr>
          <w:t>https://www.nature.com/articles/s41598-024-68212-1</w:t>
        </w:r>
      </w:hyperlink>
    </w:p>
    <w:p w14:paraId="5617FBEA" w14:textId="77777777" w:rsidR="009A6F22" w:rsidRDefault="009A6F22" w:rsidP="009A6F22">
      <w:pPr>
        <w:pStyle w:val="MdSpace"/>
        <w:spacing w:after="60"/>
      </w:pPr>
    </w:p>
    <w:p w14:paraId="712836B1" w14:textId="77777777" w:rsidR="009A6F22" w:rsidRDefault="009A6F22" w:rsidP="009A6F22">
      <w:pPr>
        <w:pStyle w:val="MdParagraph"/>
      </w:pPr>
      <w:r>
        <w:t xml:space="preserve">[4] Wang R, Yu W, Wang Y, et al. Diagnostic performance of the quantitative flow ratio and CT-FFR for coronary lesion-specific ischemia. </w:t>
      </w:r>
      <w:r>
        <w:rPr>
          <w:rStyle w:val="MdEm"/>
        </w:rPr>
        <w:t>Scientific Reports</w:t>
      </w:r>
      <w:r>
        <w:t xml:space="preserve">. 2024;14:16953. Available at: </w:t>
      </w:r>
      <w:hyperlink r:id="rId8" w:history="1">
        <w:r>
          <w:rPr>
            <w:rStyle w:val="MdLink"/>
          </w:rPr>
          <w:t>https://www.nature.com/articles/s41598-024-68212-1</w:t>
        </w:r>
      </w:hyperlink>
    </w:p>
    <w:p w14:paraId="2EC719B7" w14:textId="77777777" w:rsidR="009A6F22" w:rsidRDefault="009A6F22" w:rsidP="009A6F22">
      <w:pPr>
        <w:pStyle w:val="MdSpace"/>
        <w:spacing w:after="60"/>
      </w:pPr>
    </w:p>
    <w:p w14:paraId="27324D3C" w14:textId="77777777" w:rsidR="009A6F22" w:rsidRDefault="009A6F22" w:rsidP="009A6F22">
      <w:pPr>
        <w:pStyle w:val="MdParagraph"/>
      </w:pPr>
      <w:r>
        <w:t xml:space="preserve">[5] Willemink MJ, Koszek WA, Hardell C, et al. In the Picture: Medical Imaging Datasets, Artifacts, and their Living Review. </w:t>
      </w:r>
      <w:r>
        <w:rPr>
          <w:rStyle w:val="MdEm"/>
        </w:rPr>
        <w:t>arXiv preprint</w:t>
      </w:r>
      <w:r>
        <w:t xml:space="preserve">. 2025. Available at: </w:t>
      </w:r>
      <w:hyperlink r:id="rId9" w:history="1">
        <w:r>
          <w:rPr>
            <w:rStyle w:val="MdLink"/>
          </w:rPr>
          <w:t>https://arxiv.org/html/2501.10727v1</w:t>
        </w:r>
      </w:hyperlink>
    </w:p>
    <w:p w14:paraId="4FC9C2C6" w14:textId="77777777" w:rsidR="009A6F22" w:rsidRDefault="009A6F22" w:rsidP="009A6F22">
      <w:pPr>
        <w:pStyle w:val="MdSpace"/>
        <w:spacing w:after="60"/>
      </w:pPr>
    </w:p>
    <w:p w14:paraId="0A4206D1" w14:textId="77777777" w:rsidR="009A6F22" w:rsidRDefault="009A6F22" w:rsidP="009A6F22">
      <w:pPr>
        <w:pStyle w:val="MdParagraph"/>
      </w:pPr>
      <w:r>
        <w:t xml:space="preserve">[6] Sounderajah V, Ashrafian H, Golub RM, et al. Medical imaging datasets, preparation, and availability for artificial intelligence in medical imaging. </w:t>
      </w:r>
      <w:r>
        <w:rPr>
          <w:rStyle w:val="MdEm"/>
        </w:rPr>
        <w:t>Aging and Disease Reports</w:t>
      </w:r>
      <w:r>
        <w:t xml:space="preserve">. 2024. Available at: </w:t>
      </w:r>
      <w:hyperlink r:id="rId10" w:history="1">
        <w:r>
          <w:rPr>
            <w:rStyle w:val="MdLink"/>
          </w:rPr>
          <w:t>https://journals.sagepub.com/doi/full/10.3233/ADR-240129</w:t>
        </w:r>
      </w:hyperlink>
    </w:p>
    <w:p w14:paraId="220C2E15" w14:textId="77777777" w:rsidR="009A6F22" w:rsidRDefault="009A6F22" w:rsidP="009A6F22"/>
    <w:p w14:paraId="1044636E" w14:textId="77777777" w:rsidR="009A6F22" w:rsidRDefault="009A6F22"/>
    <w:sectPr w:rsidR="009A6F22" w:rsidSect="009A6F2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5073D"/>
    <w:multiLevelType w:val="multilevel"/>
    <w:tmpl w:val="B5948F8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709540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F22"/>
    <w:rsid w:val="0009610E"/>
    <w:rsid w:val="001F4856"/>
    <w:rsid w:val="002E26BC"/>
    <w:rsid w:val="003179E9"/>
    <w:rsid w:val="00391092"/>
    <w:rsid w:val="004470FE"/>
    <w:rsid w:val="0050456B"/>
    <w:rsid w:val="0055721E"/>
    <w:rsid w:val="006A1087"/>
    <w:rsid w:val="00722810"/>
    <w:rsid w:val="009A6F22"/>
    <w:rsid w:val="009C5612"/>
    <w:rsid w:val="00A00C95"/>
    <w:rsid w:val="00A61A27"/>
    <w:rsid w:val="00B04B7C"/>
    <w:rsid w:val="00D26C11"/>
    <w:rsid w:val="00EC10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60CCD"/>
  <w15:chartTrackingRefBased/>
  <w15:docId w15:val="{8FBF1313-5144-4B63-9093-A9BD348F2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F22"/>
  </w:style>
  <w:style w:type="paragraph" w:styleId="Heading1">
    <w:name w:val="heading 1"/>
    <w:basedOn w:val="Normal"/>
    <w:next w:val="Normal"/>
    <w:link w:val="Heading1Char"/>
    <w:uiPriority w:val="9"/>
    <w:qFormat/>
    <w:rsid w:val="009A6F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F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F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F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F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F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F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F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F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F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F22"/>
    <w:rPr>
      <w:rFonts w:eastAsiaTheme="majorEastAsia" w:cstheme="majorBidi"/>
      <w:color w:val="272727" w:themeColor="text1" w:themeTint="D8"/>
    </w:rPr>
  </w:style>
  <w:style w:type="paragraph" w:styleId="Title">
    <w:name w:val="Title"/>
    <w:basedOn w:val="Normal"/>
    <w:next w:val="Normal"/>
    <w:link w:val="TitleChar"/>
    <w:uiPriority w:val="10"/>
    <w:qFormat/>
    <w:rsid w:val="009A6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F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F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F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F22"/>
    <w:pPr>
      <w:spacing w:before="160"/>
      <w:jc w:val="center"/>
    </w:pPr>
    <w:rPr>
      <w:i/>
      <w:iCs/>
      <w:color w:val="404040" w:themeColor="text1" w:themeTint="BF"/>
    </w:rPr>
  </w:style>
  <w:style w:type="character" w:customStyle="1" w:styleId="QuoteChar">
    <w:name w:val="Quote Char"/>
    <w:basedOn w:val="DefaultParagraphFont"/>
    <w:link w:val="Quote"/>
    <w:uiPriority w:val="29"/>
    <w:rsid w:val="009A6F22"/>
    <w:rPr>
      <w:i/>
      <w:iCs/>
      <w:color w:val="404040" w:themeColor="text1" w:themeTint="BF"/>
    </w:rPr>
  </w:style>
  <w:style w:type="paragraph" w:styleId="ListParagraph">
    <w:name w:val="List Paragraph"/>
    <w:basedOn w:val="Normal"/>
    <w:uiPriority w:val="34"/>
    <w:qFormat/>
    <w:rsid w:val="009A6F22"/>
    <w:pPr>
      <w:ind w:left="720"/>
      <w:contextualSpacing/>
    </w:pPr>
  </w:style>
  <w:style w:type="character" w:styleId="IntenseEmphasis">
    <w:name w:val="Intense Emphasis"/>
    <w:basedOn w:val="DefaultParagraphFont"/>
    <w:uiPriority w:val="21"/>
    <w:qFormat/>
    <w:rsid w:val="009A6F22"/>
    <w:rPr>
      <w:i/>
      <w:iCs/>
      <w:color w:val="0F4761" w:themeColor="accent1" w:themeShade="BF"/>
    </w:rPr>
  </w:style>
  <w:style w:type="paragraph" w:styleId="IntenseQuote">
    <w:name w:val="Intense Quote"/>
    <w:basedOn w:val="Normal"/>
    <w:next w:val="Normal"/>
    <w:link w:val="IntenseQuoteChar"/>
    <w:uiPriority w:val="30"/>
    <w:qFormat/>
    <w:rsid w:val="009A6F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F22"/>
    <w:rPr>
      <w:i/>
      <w:iCs/>
      <w:color w:val="0F4761" w:themeColor="accent1" w:themeShade="BF"/>
    </w:rPr>
  </w:style>
  <w:style w:type="character" w:styleId="IntenseReference">
    <w:name w:val="Intense Reference"/>
    <w:basedOn w:val="DefaultParagraphFont"/>
    <w:uiPriority w:val="32"/>
    <w:qFormat/>
    <w:rsid w:val="009A6F22"/>
    <w:rPr>
      <w:b/>
      <w:bCs/>
      <w:smallCaps/>
      <w:color w:val="0F4761" w:themeColor="accent1" w:themeShade="BF"/>
      <w:spacing w:val="5"/>
    </w:rPr>
  </w:style>
  <w:style w:type="paragraph" w:customStyle="1" w:styleId="MdSpace">
    <w:name w:val="MdSpace"/>
    <w:qFormat/>
    <w:rsid w:val="009A6F22"/>
    <w:pPr>
      <w:spacing w:after="0" w:line="240" w:lineRule="auto"/>
    </w:pPr>
    <w:rPr>
      <w:rFonts w:ascii="Times New Roman" w:eastAsia="Times New Roman" w:hAnsi="Times New Roman" w:cs="Times New Roman"/>
      <w:kern w:val="0"/>
      <w:sz w:val="12"/>
      <w:szCs w:val="12"/>
      <w14:ligatures w14:val="none"/>
    </w:rPr>
  </w:style>
  <w:style w:type="paragraph" w:customStyle="1" w:styleId="MdHr">
    <w:name w:val="MdHr"/>
    <w:qFormat/>
    <w:rsid w:val="009A6F22"/>
    <w:pPr>
      <w:pBdr>
        <w:bottom w:val="single" w:sz="1" w:space="1" w:color="A5A5A5"/>
      </w:pBdr>
      <w:spacing w:before="240" w:after="240" w:line="240" w:lineRule="auto"/>
    </w:pPr>
    <w:rPr>
      <w:rFonts w:ascii="Times New Roman" w:eastAsia="Times New Roman" w:hAnsi="Times New Roman" w:cs="Times New Roman"/>
      <w:kern w:val="0"/>
      <w14:ligatures w14:val="none"/>
    </w:rPr>
  </w:style>
  <w:style w:type="paragraph" w:customStyle="1" w:styleId="MdParagraph">
    <w:name w:val="MdParagraph"/>
    <w:qFormat/>
    <w:rsid w:val="009A6F22"/>
    <w:pPr>
      <w:spacing w:before="120" w:after="120" w:line="240" w:lineRule="auto"/>
    </w:pPr>
    <w:rPr>
      <w:rFonts w:ascii="Times New Roman" w:eastAsia="Times New Roman" w:hAnsi="Times New Roman" w:cs="Times New Roman"/>
      <w:kern w:val="0"/>
      <w14:ligatures w14:val="none"/>
    </w:rPr>
  </w:style>
  <w:style w:type="paragraph" w:customStyle="1" w:styleId="MdListItem">
    <w:name w:val="MdListItem"/>
    <w:qFormat/>
    <w:rsid w:val="009A6F22"/>
    <w:pPr>
      <w:spacing w:before="60" w:after="60" w:line="240" w:lineRule="auto"/>
      <w:ind w:left="720" w:hanging="360"/>
    </w:pPr>
    <w:rPr>
      <w:rFonts w:ascii="Times New Roman" w:eastAsia="Times New Roman" w:hAnsi="Times New Roman" w:cs="Times New Roman"/>
      <w:kern w:val="0"/>
      <w14:ligatures w14:val="none"/>
    </w:rPr>
  </w:style>
  <w:style w:type="paragraph" w:customStyle="1" w:styleId="MdHeading1">
    <w:name w:val="MdHeading1"/>
    <w:qFormat/>
    <w:rsid w:val="009A6F22"/>
    <w:pPr>
      <w:keepNext/>
      <w:spacing w:before="480" w:after="240" w:line="240" w:lineRule="auto"/>
      <w:outlineLvl w:val="0"/>
    </w:pPr>
    <w:rPr>
      <w:rFonts w:ascii="Times New Roman" w:eastAsia="Times New Roman" w:hAnsi="Times New Roman" w:cs="Times New Roman"/>
      <w:b/>
      <w:bCs/>
      <w:kern w:val="0"/>
      <w:sz w:val="36"/>
      <w:szCs w:val="36"/>
      <w14:ligatures w14:val="none"/>
    </w:rPr>
  </w:style>
  <w:style w:type="paragraph" w:customStyle="1" w:styleId="MdHeading2">
    <w:name w:val="MdHeading2"/>
    <w:qFormat/>
    <w:rsid w:val="009A6F22"/>
    <w:pPr>
      <w:keepNext/>
      <w:spacing w:before="400" w:after="200" w:line="240" w:lineRule="auto"/>
      <w:outlineLvl w:val="1"/>
    </w:pPr>
    <w:rPr>
      <w:rFonts w:ascii="Times New Roman" w:eastAsia="Times New Roman" w:hAnsi="Times New Roman" w:cs="Times New Roman"/>
      <w:b/>
      <w:bCs/>
      <w:kern w:val="0"/>
      <w:sz w:val="32"/>
      <w:szCs w:val="32"/>
      <w14:ligatures w14:val="none"/>
    </w:rPr>
  </w:style>
  <w:style w:type="paragraph" w:customStyle="1" w:styleId="MdHeading3">
    <w:name w:val="MdHeading3"/>
    <w:qFormat/>
    <w:rsid w:val="009A6F22"/>
    <w:pPr>
      <w:keepNext/>
      <w:spacing w:before="320" w:line="240" w:lineRule="auto"/>
      <w:outlineLvl w:val="2"/>
    </w:pPr>
    <w:rPr>
      <w:rFonts w:ascii="Times New Roman" w:eastAsia="Times New Roman" w:hAnsi="Times New Roman" w:cs="Times New Roman"/>
      <w:b/>
      <w:bCs/>
      <w:kern w:val="0"/>
      <w:sz w:val="28"/>
      <w:szCs w:val="28"/>
      <w14:ligatures w14:val="none"/>
    </w:rPr>
  </w:style>
  <w:style w:type="character" w:customStyle="1" w:styleId="MdLink">
    <w:name w:val="MdLink"/>
    <w:uiPriority w:val="99"/>
    <w:unhideWhenUsed/>
    <w:qFormat/>
    <w:rsid w:val="009A6F22"/>
    <w:rPr>
      <w:color w:val="0563C1"/>
      <w:u w:val="single"/>
    </w:rPr>
  </w:style>
  <w:style w:type="character" w:customStyle="1" w:styleId="MdStrong">
    <w:name w:val="MdStrong"/>
    <w:uiPriority w:val="99"/>
    <w:unhideWhenUsed/>
    <w:qFormat/>
    <w:rsid w:val="009A6F22"/>
    <w:rPr>
      <w:b/>
      <w:bCs/>
    </w:rPr>
  </w:style>
  <w:style w:type="character" w:customStyle="1" w:styleId="MdEm">
    <w:name w:val="MdEm"/>
    <w:uiPriority w:val="99"/>
    <w:unhideWhenUsed/>
    <w:qFormat/>
    <w:rsid w:val="009A6F22"/>
    <w:rPr>
      <w:i/>
      <w:iCs/>
    </w:rPr>
  </w:style>
  <w:style w:type="character" w:customStyle="1" w:styleId="MdBr">
    <w:name w:val="MdBr"/>
    <w:uiPriority w:val="99"/>
    <w:unhideWhenUsed/>
    <w:qFormat/>
    <w:rsid w:val="009A6F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8-024-68212-1" TargetMode="External"/><Relationship Id="rId3" Type="http://schemas.openxmlformats.org/officeDocument/2006/relationships/settings" Target="settings.xml"/><Relationship Id="rId7" Type="http://schemas.openxmlformats.org/officeDocument/2006/relationships/hyperlink" Target="https://www.nature.com/articles/s41598-024-68212-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hajournals.org/doi/10.1161/CIRCIMAGING.122.014369" TargetMode="External"/><Relationship Id="rId11" Type="http://schemas.openxmlformats.org/officeDocument/2006/relationships/fontTable" Target="fontTable.xml"/><Relationship Id="rId5" Type="http://schemas.openxmlformats.org/officeDocument/2006/relationships/hyperlink" Target="https://journals.physiology.org/doi/full/10.1152/japplphysiol.00752.2015" TargetMode="External"/><Relationship Id="rId10" Type="http://schemas.openxmlformats.org/officeDocument/2006/relationships/hyperlink" Target="https://journals.sagepub.com/doi/full/10.3233/ADR-240129" TargetMode="External"/><Relationship Id="rId4" Type="http://schemas.openxmlformats.org/officeDocument/2006/relationships/webSettings" Target="webSettings.xml"/><Relationship Id="rId9" Type="http://schemas.openxmlformats.org/officeDocument/2006/relationships/hyperlink" Target="https://arxiv.org/html/2501.10727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1784</TotalTime>
  <Pages>10</Pages>
  <Words>4204</Words>
  <Characters>23964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Ramah Almazroui</dc:creator>
  <cp:keywords/>
  <dc:description/>
  <cp:lastModifiedBy>Ramah Almazroui</cp:lastModifiedBy>
  <cp:revision>4</cp:revision>
  <dcterms:created xsi:type="dcterms:W3CDTF">2025-11-05T03:26:00Z</dcterms:created>
  <dcterms:modified xsi:type="dcterms:W3CDTF">2026-01-20T16:25:00Z</dcterms:modified>
</cp:coreProperties>
</file>