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C1C1A"/>
          <w:sz w:val="32"/>
          <w:szCs w:val="32"/>
        </w:rPr>
        <w:t xml:space="preserve">Helena Vance</w:t>
      </w:r>
      <w:r>
        <w:rPr>
          <w:rFonts w:ascii="Arial" w:cs="Arial" w:eastAsia="Arial" w:hAnsi="Arial"/>
          <w:color w:val="6B6960"/>
          <w:sz w:val="21"/>
          <w:szCs w:val="21"/>
        </w:rPr>
        <w:t xml:space="preserve">   CEO</w:t>
      </w:r>
    </w:p>
    <w:p>
      <w:pPr>
        <w:pBdr>
          <w:bottom w:val="single" w:color="D9D5CB" w:sz="6" w:space="1"/>
        </w:pBdr>
        <w:spacing w:after="120"/>
      </w:pPr>
      <w:r>
        <w:rPr>
          <w:sz w:val="2"/>
          <w:szCs w:val="2"/>
        </w:rPr>
        <w:t xml:space="preserve"/>
      </w:r>
    </w:p>
    <w:p>
      <w:pPr>
        <w:spacing w:after="120"/>
      </w:pPr>
      <w:r>
        <w:rPr>
          <w:rFonts w:ascii="Arial" w:cs="Arial" w:eastAsia="Arial" w:hAnsi="Arial"/>
          <w:color w:val="1C1C1A"/>
          <w:sz w:val="19"/>
          <w:szCs w:val="19"/>
        </w:rPr>
        <w:t xml:space="preserve">Ambition and story. You promised the board AI by Q3. You want a headline, not “it depends.”</w:t>
      </w:r>
    </w:p>
    <w:p>
      <w:pPr>
        <w:spacing w:after="30" w:before="100"/>
      </w:pPr>
      <w:r>
        <w:rPr>
          <w:rFonts w:ascii="Arial" w:cs="Arial" w:eastAsia="Arial" w:hAnsi="Arial"/>
          <w:b/>
          <w:bCs/>
          <w:caps/>
          <w:color w:val="9A958A"/>
          <w:sz w:val="15"/>
          <w:szCs w:val="15"/>
        </w:rPr>
        <w:t xml:space="preserve">Openers, rotate one per round</w:t>
      </w:r>
    </w:p>
    <w:p>
      <w:pPr>
        <w:spacing w:after="12"/>
        <w:ind w:left="40"/>
      </w:pPr>
      <w:r>
        <w:rPr>
          <w:rFonts w:ascii="Arial" w:cs="Arial" w:eastAsia="Arial" w:hAnsi="Arial"/>
          <w:color w:val="3A3A38"/>
          <w:sz w:val="18"/>
          <w:szCs w:val="18"/>
        </w:rPr>
        <w:t xml:space="preserve">“Where is my headline on this page?”</w:t>
      </w:r>
    </w:p>
    <w:p>
      <w:pPr>
        <w:spacing w:after="12"/>
        <w:ind w:left="40"/>
      </w:pPr>
      <w:r>
        <w:rPr>
          <w:rFonts w:ascii="Arial" w:cs="Arial" w:eastAsia="Arial" w:hAnsi="Arial"/>
          <w:color w:val="3A3A38"/>
          <w:sz w:val="18"/>
          <w:szCs w:val="18"/>
        </w:rPr>
        <w:t xml:space="preserve">“What can I announce, and when?”</w:t>
      </w:r>
    </w:p>
    <w:p>
      <w:pPr>
        <w:spacing w:after="12"/>
        <w:ind w:left="40"/>
      </w:pPr>
      <w:r>
        <w:rPr>
          <w:rFonts w:ascii="Arial" w:cs="Arial" w:eastAsia="Arial" w:hAnsi="Arial"/>
          <w:color w:val="3A3A38"/>
          <w:sz w:val="18"/>
          <w:szCs w:val="18"/>
        </w:rPr>
        <w:t xml:space="preserve">“Put me on stage in Q3. What do I say?”</w:t>
      </w:r>
    </w:p>
    <w:p>
      <w:pPr>
        <w:spacing w:after="30" w:before="100"/>
      </w:pPr>
      <w:r>
        <w:rPr>
          <w:rFonts w:ascii="Arial" w:cs="Arial" w:eastAsia="Arial" w:hAnsi="Arial"/>
          <w:b/>
          <w:bCs/>
          <w:caps/>
          <w:color w:val="9A958A"/>
          <w:sz w:val="15"/>
          <w:szCs w:val="15"/>
        </w:rPr>
        <w:t xml:space="preserve">Optional distractors</w:t>
      </w:r>
    </w:p>
    <w:p>
      <w:pPr>
        <w:spacing w:after="20" w:before="140"/>
      </w:pPr>
      <w:r>
        <w:rPr>
          <w:rFonts w:ascii="Arial" w:cs="Arial" w:eastAsia="Arial" w:hAnsi="Arial"/>
          <w:b/>
          <w:bCs/>
          <w:color w:val="1C1C1A"/>
          <w:sz w:val="20"/>
          <w:szCs w:val="20"/>
        </w:rPr>
        <w:t xml:space="preserve">The Q3 Promise</w:t>
      </w:r>
      <w:r>
        <w:rPr>
          <w:rFonts w:ascii="Arial" w:cs="Arial" w:eastAsia="Arial" w:hAnsi="Arial"/>
          <w:color w:val="9A6A14"/>
          <w:sz w:val="14"/>
          <w:szCs w:val="14"/>
        </w:rPr>
        <w:t xml:space="preserve">   [optional]</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a big-bang design with no phasing.</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“I told the board this ships in Q3. Show me on the diagram what is live by then, and what is not.”</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a staged roadmap with a credible Phase 1.</w:t>
      </w:r>
    </w:p>
    <w:p>
      <w:pPr>
        <w:spacing w:after="20" w:before="140"/>
      </w:pPr>
      <w:r>
        <w:rPr>
          <w:rFonts w:ascii="Arial" w:cs="Arial" w:eastAsia="Arial" w:hAnsi="Arial"/>
          <w:b/>
          <w:bCs/>
          <w:color w:val="1C1C1A"/>
          <w:sz w:val="20"/>
          <w:szCs w:val="20"/>
        </w:rPr>
        <w:t xml:space="preserve">Simplify or Scale</w:t>
      </w:r>
      <w:r>
        <w:rPr>
          <w:rFonts w:ascii="Arial" w:cs="Arial" w:eastAsia="Arial" w:hAnsi="Arial"/>
          <w:color w:val="9A6A14"/>
          <w:sz w:val="14"/>
          <w:szCs w:val="14"/>
        </w:rPr>
        <w:t xml:space="preserve">   [optional]</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throw the half that matches what you see.</w:t>
      </w:r>
    </w:p>
    <w:p>
      <w:pPr>
        <w:pBdr>
          <w:left w:val="single" w:color="1E55C0" w:sz="18" w:space="10"/>
        </w:pBdr>
        <w:shd w:fill="EEF3FC" w:val="clear"/>
        <w:spacing w:after="60" w:before="20" w:line="264"/>
        <w:ind w:left="170"/>
      </w:pPr>
      <w:r>
        <w:rPr>
          <w:rFonts w:ascii="Arial" w:cs="Arial" w:eastAsia="Arial" w:hAnsi="Arial"/>
          <w:b/>
          <w:bCs/>
          <w:color w:val="1C1C1A"/>
          <w:sz w:val="19"/>
          <w:szCs w:val="19"/>
        </w:rPr>
        <w:t xml:space="preserve">Over-built. </w:t>
      </w:r>
      <w:r>
        <w:rPr>
          <w:rFonts w:ascii="Arial" w:cs="Arial" w:eastAsia="Arial" w:hAnsi="Arial"/>
          <w:color w:val="1C1C1A"/>
          <w:sz w:val="19"/>
          <w:szCs w:val="19"/>
        </w:rPr>
        <w:t xml:space="preserve">“This is a science project. Will a customer ever feel it?”</w:t>
      </w:r>
      <w:r>
        <w:rPr>
          <w:rFonts w:ascii="Arial" w:cs="Arial" w:eastAsia="Arial" w:hAnsi="Arial"/>
          <w:b/>
          <w:bCs/>
          <w:color w:val="1C1C1A"/>
          <w:sz w:val="19"/>
          <w:szCs w:val="19"/>
        </w:rPr>
        <w:br/>
        <w:t xml:space="preserve">Too thin. </w:t>
      </w:r>
      <w:r>
        <w:rPr>
          <w:rFonts w:ascii="Arial" w:cs="Arial" w:eastAsia="Arial" w:hAnsi="Arial"/>
          <w:color w:val="1C1C1A"/>
          <w:sz w:val="19"/>
          <w:szCs w:val="19"/>
        </w:rPr>
        <w:t xml:space="preserve">“Is this all the shareholders get for the investment?”</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the scope visibly matches customer value.</w:t>
      </w:r>
    </w:p>
    <w:p>
      <w:pPr>
        <w:spacing w:after="20" w:before="140"/>
      </w:pPr>
      <w:r>
        <w:rPr>
          <w:rFonts w:ascii="Arial" w:cs="Arial" w:eastAsia="Arial" w:hAnsi="Arial"/>
          <w:b/>
          <w:bCs/>
          <w:color w:val="1C1C1A"/>
          <w:sz w:val="20"/>
          <w:szCs w:val="20"/>
        </w:rPr>
        <w:t xml:space="preserve">The Confident Wrong Answer</w:t>
      </w:r>
      <w:r>
        <w:rPr>
          <w:rFonts w:ascii="Arial" w:cs="Arial" w:eastAsia="Arial" w:hAnsi="Arial"/>
          <w:color w:val="9A6A14"/>
          <w:sz w:val="14"/>
          <w:szCs w:val="14"/>
        </w:rPr>
        <w:t xml:space="preserve">   [optional, shared with Marcus]</w:t>
      </w:r>
    </w:p>
    <w:p>
      <w:pPr>
        <w:spacing w:after="24"/>
      </w:pPr>
      <w:r>
        <w:rPr>
          <w:rFonts w:ascii="Arial" w:cs="Arial" w:eastAsia="Arial" w:hAnsi="Arial"/>
          <w:i/>
          <w:iCs/>
          <w:color w:val="9A958A"/>
          <w:sz w:val="14"/>
          <w:szCs w:val="14"/>
        </w:rPr>
        <w:t xml:space="preserve">Pre-empted if the team drew Grounded RAG as a grounding and defer gate.</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any safety-touching design, especially Team C.</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“In the pilot, the agent told a customer with worn brake pads that everything looked fine and they could skip the inspection. It was wrong. No one was hurt. This time. If that lands in week one, my announcement becomes the story, so what on this page stops it?”</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a confidence or grounding gate before high-stakes answers, and a defer-and-escalate path.</w:t>
      </w:r>
    </w:p>
    <w:p>
      <w:pPr>
        <w:pBdr>
          <w:top w:val="single" w:color="1E55C0" w:sz="8" w:space="6"/>
        </w:pBdr>
        <w:spacing w:after="24" w:before="160"/>
      </w:pPr>
      <w:r>
        <w:rPr>
          <w:rFonts w:ascii="Arial" w:cs="Arial" w:eastAsia="Arial" w:hAnsi="Arial"/>
          <w:b/>
          <w:bCs/>
          <w:caps/>
          <w:color w:val="1E55C0"/>
          <w:sz w:val="15"/>
          <w:szCs w:val="15"/>
        </w:rPr>
        <w:t xml:space="preserve">Say yes only if</w:t>
      </w:r>
    </w:p>
    <w:p>
      <w:pPr>
        <w:spacing w:after="0"/>
      </w:pPr>
      <w:r>
        <w:rPr>
          <w:rFonts w:ascii="Arial" w:cs="Arial" w:eastAsia="Arial" w:hAnsi="Arial"/>
          <w:color w:val="1C1C1A"/>
          <w:sz w:val="18"/>
          <w:szCs w:val="18"/>
        </w:rPr>
        <w:t xml:space="preserve">A visible, customer-facing capability that supports the growth story, with a credible, phased timeline.</w:t>
      </w:r>
    </w:p>
    <w:p>
      <w:r>
        <w:br w:type="page"/>
      </w:r>
    </w:p>
    <w:p>
      <w:pPr>
        <w:spacing w:after="40"/>
      </w:pPr>
      <w:r>
        <w:rPr>
          <w:rFonts w:ascii="Arial" w:cs="Arial" w:eastAsia="Arial" w:hAnsi="Arial"/>
          <w:b/>
          <w:bCs/>
          <w:color w:val="1C1C1A"/>
          <w:sz w:val="32"/>
          <w:szCs w:val="32"/>
        </w:rPr>
        <w:t xml:space="preserve">Marcus Reinhardt</w:t>
      </w:r>
      <w:r>
        <w:rPr>
          <w:rFonts w:ascii="Arial" w:cs="Arial" w:eastAsia="Arial" w:hAnsi="Arial"/>
          <w:color w:val="6B6960"/>
          <w:sz w:val="21"/>
          <w:szCs w:val="21"/>
        </w:rPr>
        <w:t xml:space="preserve">   CISO and CDO</w:t>
      </w:r>
    </w:p>
    <w:p>
      <w:pPr>
        <w:pBdr>
          <w:bottom w:val="single" w:color="D9D5CB" w:sz="6" w:space="1"/>
        </w:pBdr>
        <w:spacing w:after="120"/>
      </w:pPr>
      <w:r>
        <w:rPr>
          <w:sz w:val="2"/>
          <w:szCs w:val="2"/>
        </w:rPr>
        <w:t xml:space="preserve"/>
      </w:r>
    </w:p>
    <w:p>
      <w:pPr>
        <w:spacing w:after="120"/>
      </w:pPr>
      <w:r>
        <w:rPr>
          <w:rFonts w:ascii="Arial" w:cs="Arial" w:eastAsia="Arial" w:hAnsi="Arial"/>
          <w:color w:val="1C1C1A"/>
          <w:sz w:val="19"/>
          <w:szCs w:val="19"/>
        </w:rPr>
        <w:t xml:space="preserve">Risk and proof. Nothing is safe until the diagram proves it.</w:t>
      </w:r>
    </w:p>
    <w:p>
      <w:pPr>
        <w:spacing w:after="30" w:before="100"/>
      </w:pPr>
      <w:r>
        <w:rPr>
          <w:rFonts w:ascii="Arial" w:cs="Arial" w:eastAsia="Arial" w:hAnsi="Arial"/>
          <w:b/>
          <w:bCs/>
          <w:caps/>
          <w:color w:val="9A958A"/>
          <w:sz w:val="15"/>
          <w:szCs w:val="15"/>
        </w:rPr>
        <w:t xml:space="preserve">Openers, rotate one per round</w:t>
      </w:r>
    </w:p>
    <w:p>
      <w:pPr>
        <w:spacing w:after="12"/>
        <w:ind w:left="40"/>
      </w:pPr>
      <w:r>
        <w:rPr>
          <w:rFonts w:ascii="Arial" w:cs="Arial" w:eastAsia="Arial" w:hAnsi="Arial"/>
          <w:color w:val="3A3A38"/>
          <w:sz w:val="18"/>
          <w:szCs w:val="18"/>
        </w:rPr>
        <w:t xml:space="preserve">“Walk me to the exact line where a customer’s data crosses into a model.”</w:t>
      </w:r>
    </w:p>
    <w:p>
      <w:pPr>
        <w:spacing w:after="12"/>
        <w:ind w:left="40"/>
      </w:pPr>
      <w:r>
        <w:rPr>
          <w:rFonts w:ascii="Arial" w:cs="Arial" w:eastAsia="Arial" w:hAnsi="Arial"/>
          <w:color w:val="3A3A38"/>
          <w:sz w:val="18"/>
          <w:szCs w:val="18"/>
        </w:rPr>
        <w:t xml:space="preserve">“Who is accountable when this is wrong, and where is that on the page?”</w:t>
      </w:r>
    </w:p>
    <w:p>
      <w:pPr>
        <w:spacing w:after="12"/>
        <w:ind w:left="40"/>
      </w:pPr>
      <w:r>
        <w:rPr>
          <w:rFonts w:ascii="Arial" w:cs="Arial" w:eastAsia="Arial" w:hAnsi="Arial"/>
          <w:color w:val="3A3A38"/>
          <w:sz w:val="18"/>
          <w:szCs w:val="18"/>
        </w:rPr>
        <w:t xml:space="preserve">“Show me where a human can still say no.”</w:t>
      </w:r>
    </w:p>
    <w:p>
      <w:pPr>
        <w:spacing w:after="30" w:before="100"/>
      </w:pPr>
      <w:r>
        <w:rPr>
          <w:rFonts w:ascii="Arial" w:cs="Arial" w:eastAsia="Arial" w:hAnsi="Arial"/>
          <w:b/>
          <w:bCs/>
          <w:caps/>
          <w:color w:val="9A958A"/>
          <w:sz w:val="15"/>
          <w:szCs w:val="15"/>
        </w:rPr>
        <w:t xml:space="preserve">Optional distractors</w:t>
      </w:r>
    </w:p>
    <w:p>
      <w:pPr>
        <w:spacing w:after="20" w:before="140"/>
      </w:pPr>
      <w:r>
        <w:rPr>
          <w:rFonts w:ascii="Arial" w:cs="Arial" w:eastAsia="Arial" w:hAnsi="Arial"/>
          <w:b/>
          <w:bCs/>
          <w:color w:val="1C1C1A"/>
          <w:sz w:val="20"/>
          <w:szCs w:val="20"/>
        </w:rPr>
        <w:t xml:space="preserve">Data Breach</w:t>
      </w:r>
      <w:r>
        <w:rPr>
          <w:rFonts w:ascii="Arial" w:cs="Arial" w:eastAsia="Arial" w:hAnsi="Arial"/>
          <w:color w:val="9A6A14"/>
          <w:sz w:val="14"/>
          <w:szCs w:val="14"/>
        </w:rPr>
        <w:t xml:space="preserve">   [optional]</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PII is not masked before the model, PII arrows are undifferentiated, or retention and logging are unshown.</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“A journalist publishes a screenshot from your model provider’s logs. It shows a named customer’s full service history and home address. The provider retained it. The board meets in twenty minutes.”</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PII masked at the trust boundary before the model call, zero retention, sensitive arrows marked distinctly, logging scoped to non-PII.</w:t>
      </w:r>
    </w:p>
    <w:p>
      <w:pPr>
        <w:spacing w:after="20" w:before="140"/>
      </w:pPr>
      <w:r>
        <w:rPr>
          <w:rFonts w:ascii="Arial" w:cs="Arial" w:eastAsia="Arial" w:hAnsi="Arial"/>
          <w:b/>
          <w:bCs/>
          <w:color w:val="1C1C1A"/>
          <w:sz w:val="20"/>
          <w:szCs w:val="20"/>
        </w:rPr>
        <w:t xml:space="preserve">The AI Act Knock</w:t>
      </w:r>
      <w:r>
        <w:rPr>
          <w:rFonts w:ascii="Arial" w:cs="Arial" w:eastAsia="Arial" w:hAnsi="Arial"/>
          <w:color w:val="9A6A14"/>
          <w:sz w:val="14"/>
          <w:szCs w:val="14"/>
        </w:rPr>
        <w:t xml:space="preserve">   [wildcard, any team, does not count toward the two]</w:t>
      </w:r>
    </w:p>
    <w:p>
      <w:pPr>
        <w:spacing w:after="24"/>
      </w:pPr>
      <w:r>
        <w:rPr>
          <w:rFonts w:ascii="Arial" w:cs="Arial" w:eastAsia="Arial" w:hAnsi="Arial"/>
          <w:i/>
          <w:iCs/>
          <w:color w:val="9A958A"/>
          <w:sz w:val="14"/>
          <w:szCs w:val="14"/>
        </w:rPr>
        <w:t xml:space="preserve">Pre-empted if the team drew Agent-Assist as a human-in-the-loop checkpoint.</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a design that advises or acts but lacks oversight, disclosure, or traceability.</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“Legal has reviewed the pilot. Because the agent gives recall and safety guidance, it may carry higher-risk obligations under the EU AI Act: transparency, human oversight, traceability. Show me, on the diagram, where a human stays in control.”</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a human-in-the-loop checkpoint on high-stakes actions, an AI-disclosure node, and an audit trail.</w:t>
      </w:r>
    </w:p>
    <w:p>
      <w:pPr>
        <w:spacing w:after="20" w:before="140"/>
      </w:pPr>
      <w:r>
        <w:rPr>
          <w:rFonts w:ascii="Arial" w:cs="Arial" w:eastAsia="Arial" w:hAnsi="Arial"/>
          <w:b/>
          <w:bCs/>
          <w:color w:val="1C1C1A"/>
          <w:sz w:val="20"/>
          <w:szCs w:val="20"/>
        </w:rPr>
        <w:t xml:space="preserve">The Confident Wrong Answer</w:t>
      </w:r>
      <w:r>
        <w:rPr>
          <w:rFonts w:ascii="Arial" w:cs="Arial" w:eastAsia="Arial" w:hAnsi="Arial"/>
          <w:color w:val="9A6A14"/>
          <w:sz w:val="14"/>
          <w:szCs w:val="14"/>
        </w:rPr>
        <w:t xml:space="preserve">   [optional, shared with Helena]</w:t>
      </w:r>
    </w:p>
    <w:p>
      <w:pPr>
        <w:spacing w:after="24"/>
      </w:pPr>
      <w:r>
        <w:rPr>
          <w:rFonts w:ascii="Arial" w:cs="Arial" w:eastAsia="Arial" w:hAnsi="Arial"/>
          <w:i/>
          <w:iCs/>
          <w:color w:val="9A958A"/>
          <w:sz w:val="14"/>
          <w:szCs w:val="14"/>
        </w:rPr>
        <w:t xml:space="preserve">Pre-empted by Grounded RAG drawn as a grounding and defer gate.</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safety or recall guidance with no confidence or grounding gate.</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“In the pilot, the agent told a customer with worn brake pads that everything looked fine and they could skip the inspection. It was wrong, and it sounded completely confident.”</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a confidence or grounding gate before high-stakes answers, a defer-and-escalate path, and stricter grounding for safety.</w:t>
      </w:r>
    </w:p>
    <w:p>
      <w:pPr>
        <w:pBdr>
          <w:top w:val="single" w:color="1E55C0" w:sz="8" w:space="6"/>
        </w:pBdr>
        <w:spacing w:after="24" w:before="160"/>
      </w:pPr>
      <w:r>
        <w:rPr>
          <w:rFonts w:ascii="Arial" w:cs="Arial" w:eastAsia="Arial" w:hAnsi="Arial"/>
          <w:b/>
          <w:bCs/>
          <w:caps/>
          <w:color w:val="1E55C0"/>
          <w:sz w:val="15"/>
          <w:szCs w:val="15"/>
        </w:rPr>
        <w:t xml:space="preserve">Say yes only if</w:t>
      </w:r>
    </w:p>
    <w:p>
      <w:pPr>
        <w:spacing w:after="0"/>
      </w:pPr>
      <w:r>
        <w:rPr>
          <w:rFonts w:ascii="Arial" w:cs="Arial" w:eastAsia="Arial" w:hAnsi="Arial"/>
          <w:color w:val="1C1C1A"/>
          <w:sz w:val="18"/>
          <w:szCs w:val="18"/>
        </w:rPr>
        <w:t xml:space="preserve">PII handling, the trust boundary, grounding, and human oversight made explicit and auditable, and AI Act exposure acknowledged.</w:t>
      </w:r>
    </w:p>
    <w:p>
      <w:r>
        <w:br w:type="page"/>
      </w:r>
    </w:p>
    <w:p>
      <w:pPr>
        <w:spacing w:after="40"/>
      </w:pPr>
      <w:r>
        <w:rPr>
          <w:rFonts w:ascii="Arial" w:cs="Arial" w:eastAsia="Arial" w:hAnsi="Arial"/>
          <w:b/>
          <w:bCs/>
          <w:color w:val="1C1C1A"/>
          <w:sz w:val="32"/>
          <w:szCs w:val="32"/>
        </w:rPr>
        <w:t xml:space="preserve">Priya Anand</w:t>
      </w:r>
      <w:r>
        <w:rPr>
          <w:rFonts w:ascii="Arial" w:cs="Arial" w:eastAsia="Arial" w:hAnsi="Arial"/>
          <w:color w:val="6B6960"/>
          <w:sz w:val="21"/>
          <w:szCs w:val="21"/>
        </w:rPr>
        <w:t xml:space="preserve">   CIO</w:t>
      </w:r>
    </w:p>
    <w:p>
      <w:pPr>
        <w:pBdr>
          <w:bottom w:val="single" w:color="D9D5CB" w:sz="6" w:space="1"/>
        </w:pBdr>
        <w:spacing w:after="120"/>
      </w:pPr>
      <w:r>
        <w:rPr>
          <w:sz w:val="2"/>
          <w:szCs w:val="2"/>
        </w:rPr>
        <w:t xml:space="preserve"/>
      </w:r>
    </w:p>
    <w:p>
      <w:pPr>
        <w:spacing w:after="120"/>
      </w:pPr>
      <w:r>
        <w:rPr>
          <w:rFonts w:ascii="Arial" w:cs="Arial" w:eastAsia="Arial" w:hAnsi="Arial"/>
          <w:color w:val="1C1C1A"/>
          <w:sz w:val="19"/>
          <w:szCs w:val="19"/>
        </w:rPr>
        <w:t xml:space="preserve">Feasibility and cost. You operate this at 2 a.m.</w:t>
      </w:r>
    </w:p>
    <w:p>
      <w:pPr>
        <w:spacing w:after="30" w:before="100"/>
      </w:pPr>
      <w:r>
        <w:rPr>
          <w:rFonts w:ascii="Arial" w:cs="Arial" w:eastAsia="Arial" w:hAnsi="Arial"/>
          <w:b/>
          <w:bCs/>
          <w:caps/>
          <w:color w:val="9A958A"/>
          <w:sz w:val="15"/>
          <w:szCs w:val="15"/>
        </w:rPr>
        <w:t xml:space="preserve">Openers, rotate one per round</w:t>
      </w:r>
    </w:p>
    <w:p>
      <w:pPr>
        <w:spacing w:after="12"/>
        <w:ind w:left="40"/>
      </w:pPr>
      <w:r>
        <w:rPr>
          <w:rFonts w:ascii="Arial" w:cs="Arial" w:eastAsia="Arial" w:hAnsi="Arial"/>
          <w:color w:val="3A3A38"/>
          <w:sz w:val="18"/>
          <w:szCs w:val="18"/>
        </w:rPr>
        <w:t xml:space="preserve">“What does this cost me per conversation, and where on the diagram is the expensive call?”</w:t>
      </w:r>
    </w:p>
    <w:p>
      <w:pPr>
        <w:spacing w:after="12"/>
        <w:ind w:left="40"/>
      </w:pPr>
      <w:r>
        <w:rPr>
          <w:rFonts w:ascii="Arial" w:cs="Arial" w:eastAsia="Arial" w:hAnsi="Arial"/>
          <w:color w:val="3A3A38"/>
          <w:sz w:val="18"/>
          <w:szCs w:val="18"/>
        </w:rPr>
        <w:t xml:space="preserve">“Your model vendor doubles the price in ninety days. What changes on this page?”</w:t>
      </w:r>
    </w:p>
    <w:p>
      <w:pPr>
        <w:spacing w:after="12"/>
        <w:ind w:left="40"/>
      </w:pPr>
      <w:r>
        <w:rPr>
          <w:rFonts w:ascii="Arial" w:cs="Arial" w:eastAsia="Arial" w:hAnsi="Arial"/>
          <w:color w:val="3A3A38"/>
          <w:sz w:val="18"/>
          <w:szCs w:val="18"/>
        </w:rPr>
        <w:t xml:space="preserve">“It is 2 a.m. and the model is down. What does the customer get?”</w:t>
      </w:r>
    </w:p>
    <w:p>
      <w:pPr>
        <w:spacing w:after="30" w:before="100"/>
      </w:pPr>
      <w:r>
        <w:rPr>
          <w:rFonts w:ascii="Arial" w:cs="Arial" w:eastAsia="Arial" w:hAnsi="Arial"/>
          <w:b/>
          <w:bCs/>
          <w:caps/>
          <w:color w:val="9A958A"/>
          <w:sz w:val="15"/>
          <w:szCs w:val="15"/>
        </w:rPr>
        <w:t xml:space="preserve">Optional distractors</w:t>
      </w:r>
    </w:p>
    <w:p>
      <w:pPr>
        <w:spacing w:after="20" w:before="140"/>
      </w:pPr>
      <w:r>
        <w:rPr>
          <w:rFonts w:ascii="Arial" w:cs="Arial" w:eastAsia="Arial" w:hAnsi="Arial"/>
          <w:b/>
          <w:bCs/>
          <w:color w:val="1C1C1A"/>
          <w:sz w:val="20"/>
          <w:szCs w:val="20"/>
        </w:rPr>
        <w:t xml:space="preserve">The Bill and the Lag</w:t>
      </w:r>
      <w:r>
        <w:rPr>
          <w:rFonts w:ascii="Arial" w:cs="Arial" w:eastAsia="Arial" w:hAnsi="Arial"/>
          <w:color w:val="9A6A14"/>
          <w:sz w:val="14"/>
          <w:szCs w:val="14"/>
        </w:rPr>
        <w:t xml:space="preserve">   [optional]</w:t>
      </w:r>
    </w:p>
    <w:p>
      <w:pPr>
        <w:spacing w:after="24"/>
      </w:pPr>
      <w:r>
        <w:rPr>
          <w:rFonts w:ascii="Arial" w:cs="Arial" w:eastAsia="Arial" w:hAnsi="Arial"/>
          <w:i/>
          <w:iCs/>
          <w:color w:val="9A958A"/>
          <w:sz w:val="14"/>
          <w:szCs w:val="14"/>
        </w:rPr>
        <w:t xml:space="preserve">Partly pre-empted if the team drew Observability and Evaluation.</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everything routes through the expensive model, there are gratuitous model calls, or voice is everywhere.</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“Finance modelled it at projected volume. The design costs four times the contact-centre savings it was meant to deliver, and voice replies lag six seconds. Make the number work before this leaves the room.”</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model tiering, gratuitous model calls removed, caching, and voice scoped to where it pays.</w:t>
      </w:r>
    </w:p>
    <w:p>
      <w:pPr>
        <w:spacing w:after="20" w:before="140"/>
      </w:pPr>
      <w:r>
        <w:rPr>
          <w:rFonts w:ascii="Arial" w:cs="Arial" w:eastAsia="Arial" w:hAnsi="Arial"/>
          <w:b/>
          <w:bCs/>
          <w:color w:val="1C1C1A"/>
          <w:sz w:val="20"/>
          <w:szCs w:val="20"/>
        </w:rPr>
        <w:t xml:space="preserve">The Vendor Moves</w:t>
      </w:r>
      <w:r>
        <w:rPr>
          <w:rFonts w:ascii="Arial" w:cs="Arial" w:eastAsia="Arial" w:hAnsi="Arial"/>
          <w:color w:val="9A6A14"/>
          <w:sz w:val="14"/>
          <w:szCs w:val="14"/>
        </w:rPr>
        <w:t xml:space="preserve">   [optional]</w:t>
      </w:r>
    </w:p>
    <w:p>
      <w:pPr>
        <w:spacing w:after="24"/>
      </w:pPr>
      <w:r>
        <w:rPr>
          <w:rFonts w:ascii="Arial" w:cs="Arial" w:eastAsia="Arial" w:hAnsi="Arial"/>
          <w:i/>
          <w:iCs/>
          <w:color w:val="9A958A"/>
          <w:sz w:val="14"/>
          <w:szCs w:val="14"/>
        </w:rPr>
        <w:t xml:space="preserve">Pre-empted if the team drew the Model Gateway as a stable interface with a fallback.</w:t>
      </w:r>
    </w:p>
    <w:p>
      <w:pPr>
        <w:spacing w:after="24"/>
      </w:pPr>
      <w:r>
        <w:rPr>
          <w:rFonts w:ascii="Arial" w:cs="Arial" w:eastAsia="Arial" w:hAnsi="Arial"/>
          <w:b/>
          <w:bCs/>
          <w:color w:val="6B6960"/>
          <w:sz w:val="15"/>
          <w:szCs w:val="15"/>
        </w:rPr>
        <w:t xml:space="preserve">Throw if </w:t>
      </w:r>
      <w:r>
        <w:rPr>
          <w:rFonts w:ascii="Arial" w:cs="Arial" w:eastAsia="Arial" w:hAnsi="Arial"/>
          <w:color w:val="6B6960"/>
          <w:sz w:val="16"/>
          <w:szCs w:val="16"/>
        </w:rPr>
        <w:t xml:space="preserve">the design couples to one provider with no stable interface or gateway, and no fallback.</w:t>
      </w:r>
    </w:p>
    <w:p>
      <w:pPr>
        <w:pBdr>
          <w:left w:val="single" w:color="1E55C0" w:sz="18" w:space="10"/>
        </w:pBdr>
        <w:shd w:fill="EEF3FC" w:val="clear"/>
        <w:spacing w:after="60" w:before="20" w:line="264"/>
        <w:ind w:left="170"/>
      </w:pPr>
      <w:r>
        <w:rPr>
          <w:rFonts w:ascii="Arial" w:cs="Arial" w:eastAsia="Arial" w:hAnsi="Arial"/>
          <w:color w:val="1C1C1A"/>
          <w:sz w:val="19"/>
          <w:szCs w:val="19"/>
        </w:rPr>
        <w:t xml:space="preserve">“Your model provider announces a breaking API change and a thirty percent price rise, effective in ninety days. How locked in are we, and what happens if a model we depend on simply goes away?”</w:t>
      </w:r>
    </w:p>
    <w:p>
      <w:pPr>
        <w:spacing w:after="24"/>
      </w:pPr>
      <w:r>
        <w:rPr>
          <w:rFonts w:ascii="Arial" w:cs="Arial" w:eastAsia="Arial" w:hAnsi="Arial"/>
          <w:b/>
          <w:bCs/>
          <w:color w:val="6B6960"/>
          <w:sz w:val="15"/>
          <w:szCs w:val="15"/>
        </w:rPr>
        <w:t xml:space="preserve">Accept when </w:t>
      </w:r>
      <w:r>
        <w:rPr>
          <w:rFonts w:ascii="Arial" w:cs="Arial" w:eastAsia="Arial" w:hAnsi="Arial"/>
          <w:color w:val="6B6960"/>
          <w:sz w:val="16"/>
          <w:szCs w:val="16"/>
        </w:rPr>
        <w:t xml:space="preserve">a stable interface or gateway, a documented fallback model, and graceful degradation.</w:t>
      </w:r>
    </w:p>
    <w:p>
      <w:pPr>
        <w:pBdr>
          <w:top w:val="single" w:color="1E55C0" w:sz="8" w:space="6"/>
        </w:pBdr>
        <w:spacing w:after="24" w:before="160"/>
      </w:pPr>
      <w:r>
        <w:rPr>
          <w:rFonts w:ascii="Arial" w:cs="Arial" w:eastAsia="Arial" w:hAnsi="Arial"/>
          <w:b/>
          <w:bCs/>
          <w:caps/>
          <w:color w:val="1E55C0"/>
          <w:sz w:val="15"/>
          <w:szCs w:val="15"/>
        </w:rPr>
        <w:t xml:space="preserve">Say yes only if</w:t>
      </w:r>
    </w:p>
    <w:p>
      <w:pPr>
        <w:spacing w:after="0"/>
      </w:pPr>
      <w:r>
        <w:rPr>
          <w:rFonts w:ascii="Arial" w:cs="Arial" w:eastAsia="Arial" w:hAnsi="Arial"/>
          <w:color w:val="1C1C1A"/>
          <w:sz w:val="18"/>
          <w:szCs w:val="18"/>
        </w:rPr>
        <w:t xml:space="preserve">Run cost at scale, latency, operability, and lock-in addressed, with complexity matched to value.</w:t>
      </w:r>
    </w:p>
    <w:sectPr>
      <w:pgSz w:w="8391" w:h="11906" w:orient="portrait"/>
      <w:pgMar w:top="567" w:right="624" w:bottom="510" w:left="6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2026-06-09T07:06:32.862Z</dcterms:created>
  <dcterms:modified xsi:type="dcterms:W3CDTF">2026-06-09T07:06:32.862Z</dcterms:modified>
</cp:coreProperties>
</file>

<file path=docProps/custom.xml><?xml version="1.0" encoding="utf-8"?>
<Properties xmlns="http://schemas.openxmlformats.org/officeDocument/2006/custom-properties" xmlns:vt="http://schemas.openxmlformats.org/officeDocument/2006/docPropsVTypes"/>
</file>