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pedpnxliapq7" w:id="0"/>
      <w:bookmarkEnd w:id="0"/>
      <w:r w:rsidDel="00000000" w:rsidR="00000000" w:rsidRPr="00000000">
        <w:rPr>
          <w:rtl w:val="0"/>
        </w:rPr>
        <w:t xml:space="preserve">ANZ 2025 ESG Briefing: Strategic Insights and Performance Overview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wxrqgls9opoc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2025 ESG Report outlines a pivotal year for ANZ, characterized by a refreshed corporate strategy (ANZ 2030) and a significant "cultural reset" aimed at addressing systemic shortcomings in non-financial risk (NFR) management. The Group’s ambition is to win the preference of customers, shareholders, and the community by integrating ESG considerations into its core business model.</w:t>
      </w:r>
      <w:r w:rsidDel="00000000" w:rsidR="00000000" w:rsidRPr="00000000">
        <w:rPr>
          <w:b w:val="1"/>
          <w:bCs w:val="1"/>
          <w:rtl w:val="0"/>
        </w:rPr>
        <w:t xml:space="preserve">Critical Takeaways: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Non-Financial Risk (NFR) Uplift:</w:t>
      </w:r>
      <w:r w:rsidDel="00000000" w:rsidR="00000000" w:rsidRPr="00000000">
        <w:rPr>
          <w:rtl w:val="0"/>
        </w:rPr>
        <w:t xml:space="preserve">  Following a Court Enforceable Undertaking (CEU) with APRA and a $240 million settlement with ASIC, ANZ has launched "Program PACT" and a multi-year Root Cause Remediation Plan (RCRP).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Climate and Environmental Leadership:</w:t>
      </w:r>
      <w:r w:rsidDel="00000000" w:rsidR="00000000" w:rsidRPr="00000000">
        <w:rPr>
          <w:rtl w:val="0"/>
        </w:rPr>
        <w:t xml:space="preserve">  The Group has funded and facilitated $84.72 billion toward its $100 billion social and environmental activities target for 2030. Eight of ten sectoral pathways remain "on-track."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Housing Commitment:</w:t>
      </w:r>
      <w:r w:rsidDel="00000000" w:rsidR="00000000" w:rsidRPr="00000000">
        <w:rPr>
          <w:rtl w:val="0"/>
        </w:rPr>
        <w:t xml:space="preserve">  ANZ has reached $7.37 billion of its $10 billion target to deliver affordable, accessible, and sustainable housing by 2030.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Acquisition:</w:t>
      </w:r>
      <w:r w:rsidDel="00000000" w:rsidR="00000000" w:rsidRPr="00000000">
        <w:rPr>
          <w:rtl w:val="0"/>
        </w:rPr>
        <w:t xml:space="preserve">  The integration of Suncorp Bank is underway, with a phased transition to ANZ’s ESG policies and risk frameworks.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Wellbeing:</w:t>
      </w:r>
      <w:r w:rsidDel="00000000" w:rsidR="00000000" w:rsidRPr="00000000">
        <w:rPr>
          <w:rtl w:val="0"/>
        </w:rPr>
        <w:t xml:space="preserve">  Over 126,000 participants were reached through financial education programs (MoneyMinded, Saver Plus) in 2025.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jehdb23l79qn" w:id="2"/>
      <w:bookmarkEnd w:id="2"/>
      <w:r w:rsidDel="00000000" w:rsidR="00000000" w:rsidRPr="00000000">
        <w:rPr>
          <w:rtl w:val="0"/>
        </w:rPr>
        <w:t xml:space="preserve">Corporate Strategy and Ambition: ANZ 2030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Group launched the "ANZ 2030" strategy in October 2025, centering on four strategic pillars supported by core enablers of Culture, People, and Technology.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1r7v7c3zlez5" w:id="3"/>
      <w:bookmarkEnd w:id="3"/>
      <w:r w:rsidDel="00000000" w:rsidR="00000000" w:rsidRPr="00000000">
        <w:rPr>
          <w:rtl w:val="0"/>
        </w:rPr>
        <w:t xml:space="preserve">Strategic Pillars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Pillar,Objective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Customer First,Raising standards for digital and human interactions with superior propositions.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Simplicity,Driving productivity through organizational simplification and divestment of non-core assets.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Resilience,Leading in trust and safety through the highest standards of NFR management and accountability.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Delivering Value,Improving financial performance and creating lasting results for stakeholders.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ziamgtmaxz85" w:id="4"/>
      <w:bookmarkEnd w:id="4"/>
      <w:r w:rsidDel="00000000" w:rsidR="00000000" w:rsidRPr="00000000">
        <w:rPr>
          <w:rtl w:val="0"/>
        </w:rPr>
        <w:t xml:space="preserve">Improving Non-Financial Risk Management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Strengthening NFR management is identified as a strategic imperative to restore trust and ensure resilient operations.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xyhlqbgyfpop" w:id="5"/>
      <w:bookmarkEnd w:id="5"/>
      <w:r w:rsidDel="00000000" w:rsidR="00000000" w:rsidRPr="00000000">
        <w:rPr>
          <w:rtl w:val="0"/>
        </w:rPr>
        <w:t xml:space="preserve">Regulatory Actions and Response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APRA Court Enforceable Undertaking (CEU):</w:t>
      </w:r>
      <w:r w:rsidDel="00000000" w:rsidR="00000000" w:rsidRPr="00000000">
        <w:rPr>
          <w:rtl w:val="0"/>
        </w:rPr>
        <w:t xml:space="preserve">  Entered on April 3, 2025, regarding NFR management and risk culture. ANZ is required to hold a total operational risk capital overlay of $1 billion.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Root Cause Remediation Plan (RCRP):</w:t>
      </w:r>
      <w:r w:rsidDel="00000000" w:rsidR="00000000" w:rsidRPr="00000000">
        <w:rPr>
          <w:rtl w:val="0"/>
        </w:rPr>
        <w:t xml:space="preserve">  A multi-year plan approved by APRA on November 7, 2025. ANZ expects to spend $150 million on implementation in 2026. The plan covers seven workstreams, including Governance, Accountability, and Data Systems.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Program PACT (People, Accountability, Customers, and Trust):</w:t>
      </w:r>
      <w:r w:rsidDel="00000000" w:rsidR="00000000" w:rsidRPr="00000000">
        <w:rPr>
          <w:rtl w:val="0"/>
        </w:rPr>
        <w:t xml:space="preserve">  An enterprise-wide program established to lead the NFR uplift. Its success will be measured by behavioral adoption, governance maturity, and outcome delivery.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fnfcjpwr4qdb" w:id="6"/>
      <w:bookmarkEnd w:id="6"/>
      <w:r w:rsidDel="00000000" w:rsidR="00000000" w:rsidRPr="00000000">
        <w:rPr>
          <w:rtl w:val="0"/>
        </w:rPr>
        <w:t xml:space="preserve">ASIC Investigation Settlement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On September 15, 2025, ANZ reached an agreement with ASIC to resolve five investigations, incurring a $240 million penalty. Issues included: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Hardship Support:</w:t>
      </w:r>
      <w:r w:rsidDel="00000000" w:rsidR="00000000" w:rsidRPr="00000000">
        <w:rPr>
          <w:rtl w:val="0"/>
        </w:rPr>
        <w:t xml:space="preserve">  Failure to respond to 488 hardship notices within required timeframes.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Deceased Estates:</w:t>
      </w:r>
      <w:r w:rsidDel="00000000" w:rsidR="00000000" w:rsidRPr="00000000">
        <w:rPr>
          <w:rtl w:val="0"/>
        </w:rPr>
        <w:t xml:space="preserve">  Delays in freezing accounts and improper fee charges.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Online Saver Accounts:</w:t>
      </w:r>
      <w:r w:rsidDel="00000000" w:rsidR="00000000" w:rsidRPr="00000000">
        <w:rPr>
          <w:rtl w:val="0"/>
        </w:rPr>
        <w:t xml:space="preserve">  Errors in bonus interest and incorrect rate disclosures.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Duration Manager Conduct:</w:t>
      </w:r>
      <w:r w:rsidDel="00000000" w:rsidR="00000000" w:rsidRPr="00000000">
        <w:rPr>
          <w:rtl w:val="0"/>
        </w:rPr>
        <w:t xml:space="preserve">  "Unconscionable conduct" regarding communication and reporting during a 2023 bond issuance for the AOFM.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Reporting:</w:t>
      </w:r>
      <w:r w:rsidDel="00000000" w:rsidR="00000000" w:rsidRPr="00000000">
        <w:rPr>
          <w:rtl w:val="0"/>
        </w:rPr>
        <w:t xml:space="preserve">  Two years of inaccurate secondary bond turnover data provided to the AOFM.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hh4xkhskyhxq" w:id="7"/>
      <w:bookmarkEnd w:id="7"/>
      <w:r w:rsidDel="00000000" w:rsidR="00000000" w:rsidRPr="00000000">
        <w:rPr>
          <w:rtl w:val="0"/>
        </w:rPr>
        <w:t xml:space="preserve">ESG Target Performance Summary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ANZ tracks progress against concluding and continuing targets. In 2025, several key environmental and social milestones were reached.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fa4wu7c5qi80" w:id="8"/>
      <w:bookmarkEnd w:id="8"/>
      <w:r w:rsidDel="00000000" w:rsidR="00000000" w:rsidRPr="00000000">
        <w:rPr>
          <w:rtl w:val="0"/>
        </w:rPr>
        <w:t xml:space="preserve">Concluding Targets (2025)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Target Headline,Outcome,Performance Note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Savings Program Pilots,Achieved,Pilots in Fiji and Vanuatu exceeded habit-forming targets (85-90%).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Large Emitters (LEEP),Achieved,"45 major customers assessed as ""Mature"" in transition plans."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Operational Emissions,Achieved,Combined Scope 1 and 2 emissions reduced by 96% since 2015.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Renewable Electricity,Not Achieved,Reached 97% (missed 100% due to infrastructure gaps in PNG/Pacific).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NZ Retail Lending,Achieved,NZ$938.86M in discounted lending for healthy/sustainable homes.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Women in Leadership,Achieved,Reached 40.5% (exceeded target of 40.2%).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KMP Gender Equity,Not Achieved,"Decreased to 33% (target 40%), though new appointments are expected to restore this."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6mrdeb55i7c1" w:id="9"/>
      <w:bookmarkEnd w:id="9"/>
      <w:r w:rsidDel="00000000" w:rsidR="00000000" w:rsidRPr="00000000">
        <w:rPr>
          <w:rtl w:val="0"/>
        </w:rPr>
        <w:t xml:space="preserve">Continuing Targets (2030)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Social/Environmental Financing:</w:t>
      </w:r>
      <w:r w:rsidDel="00000000" w:rsidR="00000000" w:rsidRPr="00000000">
        <w:rPr>
          <w:rtl w:val="0"/>
        </w:rPr>
        <w:t xml:space="preserve">  $84.72 billion contributed toward the $100 billion target.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Social and Affordable Housing:</w:t>
      </w:r>
      <w:r w:rsidDel="00000000" w:rsidR="00000000" w:rsidRPr="00000000">
        <w:rPr>
          <w:rtl w:val="0"/>
        </w:rPr>
        <w:t xml:space="preserve">  $7.37 billion funded/facilitated toward the $10 billion target.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Operational Emissions (New):</w:t>
      </w:r>
      <w:r w:rsidDel="00000000" w:rsidR="00000000" w:rsidRPr="00000000">
        <w:rPr>
          <w:rtl w:val="0"/>
        </w:rPr>
        <w:t xml:space="preserve">  Rebaselined to a 2024 baseline for a further 85% reduction by 2030.</w:t>
      </w:r>
    </w:p>
    <w:p w:rsidR="00000000" w:rsidDel="00000000" w:rsidP="00000000" w:rsidRDefault="00000000" w:rsidRPr="00000000" w14:paraId="0000002D">
      <w:pPr>
        <w:pStyle w:val="Heading4"/>
        <w:rPr/>
      </w:pPr>
      <w:bookmarkStart w:colFirst="0" w:colLast="0" w:name="_lf9sut3hs02g" w:id="10"/>
      <w:bookmarkEnd w:id="10"/>
      <w:r w:rsidDel="00000000" w:rsidR="00000000" w:rsidRPr="00000000">
        <w:rPr>
          <w:rtl w:val="0"/>
        </w:rPr>
        <w:t xml:space="preserve">Environmental Sustainability and Climate Strategy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Climate and Environment Strategy (C&amp;E Strategy) focuses on being a "trusted partner" for customers during the sustainable transition.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6uqvpj64tfzi" w:id="11"/>
      <w:bookmarkEnd w:id="11"/>
      <w:r w:rsidDel="00000000" w:rsidR="00000000" w:rsidRPr="00000000">
        <w:rPr>
          <w:rtl w:val="0"/>
        </w:rPr>
        <w:t xml:space="preserve">Core Ambitions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Capability Building:</w:t>
      </w:r>
      <w:r w:rsidDel="00000000" w:rsidR="00000000" w:rsidRPr="00000000">
        <w:rPr>
          <w:rtl w:val="0"/>
        </w:rPr>
        <w:t xml:space="preserve">  Helping customers understand climate and nature risks.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Portfolio Transition:</w:t>
      </w:r>
      <w:r w:rsidDel="00000000" w:rsidR="00000000" w:rsidRPr="00000000">
        <w:rPr>
          <w:rtl w:val="0"/>
        </w:rPr>
        <w:t xml:space="preserve">  Moving the lending portfolio to net-zero financed emissions.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Customer Resilience:</w:t>
      </w:r>
      <w:r w:rsidDel="00000000" w:rsidR="00000000" w:rsidRPr="00000000">
        <w:rPr>
          <w:rtl w:val="0"/>
        </w:rPr>
        <w:t xml:space="preserve">  Supporting adaptation to a changing economy.</w:t>
      </w:r>
    </w:p>
    <w:p w:rsidR="00000000" w:rsidDel="00000000" w:rsidP="00000000" w:rsidRDefault="00000000" w:rsidRPr="00000000" w14:paraId="00000033">
      <w:pPr>
        <w:pStyle w:val="Heading5"/>
        <w:rPr/>
      </w:pPr>
      <w:bookmarkStart w:colFirst="0" w:colLast="0" w:name="_bohw8c2q3q7o" w:id="12"/>
      <w:bookmarkEnd w:id="12"/>
      <w:r w:rsidDel="00000000" w:rsidR="00000000" w:rsidRPr="00000000">
        <w:rPr>
          <w:rtl w:val="0"/>
        </w:rPr>
        <w:t xml:space="preserve">Financing the Transition ($100B Target Progress)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Of the $84.72 billion contributed as of September 30, 2025: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Funded ($42.09B):</w:t>
      </w:r>
      <w:r w:rsidDel="00000000" w:rsidR="00000000" w:rsidRPr="00000000">
        <w:rPr>
          <w:rtl w:val="0"/>
        </w:rPr>
        <w:t xml:space="preserve">  48.37% Environmental (Energy, Green Buildings), 40.32% Sustainability-Linked.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Facilitated ($38.96B):</w:t>
      </w:r>
      <w:r w:rsidDel="00000000" w:rsidR="00000000" w:rsidRPr="00000000">
        <w:rPr>
          <w:rtl w:val="0"/>
        </w:rPr>
        <w:t xml:space="preserve">  51.22% Environmental, 27.90% Sustainability-Linked.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 Investments ($3.67B):</w:t>
      </w:r>
      <w:r w:rsidDel="00000000" w:rsidR="00000000" w:rsidRPr="00000000">
        <w:rPr>
          <w:rtl w:val="0"/>
        </w:rPr>
        <w:t xml:space="preserve">  Labelled green, social, and sustainability bonds.</w:t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gue51foltslu" w:id="13"/>
      <w:bookmarkEnd w:id="13"/>
      <w:r w:rsidDel="00000000" w:rsidR="00000000" w:rsidRPr="00000000">
        <w:rPr>
          <w:rtl w:val="0"/>
        </w:rPr>
        <w:t xml:space="preserve">Responsible Customer Engagement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ANZ has implemented significant changes to support vulnerable customers and fulfill obligations under the revised Banking Code of Practice.</w:t>
      </w:r>
    </w:p>
    <w:p w:rsidR="00000000" w:rsidDel="00000000" w:rsidP="00000000" w:rsidRDefault="00000000" w:rsidRPr="00000000" w14:paraId="0000003A">
      <w:pPr>
        <w:pStyle w:val="Heading5"/>
        <w:rPr/>
      </w:pPr>
      <w:bookmarkStart w:colFirst="0" w:colLast="0" w:name="_evtn5sm88sgh" w:id="14"/>
      <w:bookmarkEnd w:id="14"/>
      <w:r w:rsidDel="00000000" w:rsidR="00000000" w:rsidRPr="00000000">
        <w:rPr>
          <w:rtl w:val="0"/>
        </w:rPr>
        <w:t xml:space="preserve">Support for Vulnerable Customers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Extra Care Hub (ECH):</w:t>
      </w:r>
      <w:r w:rsidDel="00000000" w:rsidR="00000000" w:rsidRPr="00000000">
        <w:rPr>
          <w:rtl w:val="0"/>
        </w:rPr>
        <w:t xml:space="preserve">  A specialized team that assisted 5,500 customers in 2025 (a 101% increase from 2024) regarding family violence and financial abuse.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Hardship Assistance:</w:t>
      </w:r>
      <w:r w:rsidDel="00000000" w:rsidR="00000000" w:rsidRPr="00000000">
        <w:rPr>
          <w:rtl w:val="0"/>
        </w:rPr>
        <w:t xml:space="preserve">  While cost-of-living pressures persist, 13,931 Australian customers received new hardship assistance. In New Zealand, 91% of customers exiting hardship were up-to-date or had paid off their facility.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Low-Income Access:</w:t>
      </w:r>
      <w:r w:rsidDel="00000000" w:rsidR="00000000" w:rsidRPr="00000000">
        <w:rPr>
          <w:rtl w:val="0"/>
        </w:rPr>
        <w:t xml:space="preserve">  ANZ committed to refunding $50 million to 600,000 low-income customers in 2026 for fee-related issues. Over 300,000 customers have been moved to basic (low-fee) accounts.</w:t>
      </w:r>
    </w:p>
    <w:p w:rsidR="00000000" w:rsidDel="00000000" w:rsidP="00000000" w:rsidRDefault="00000000" w:rsidRPr="00000000" w14:paraId="0000003E">
      <w:pPr>
        <w:pStyle w:val="Heading5"/>
        <w:rPr/>
      </w:pPr>
      <w:bookmarkStart w:colFirst="0" w:colLast="0" w:name="_pg10893r57a9" w:id="15"/>
      <w:bookmarkEnd w:id="15"/>
      <w:r w:rsidDel="00000000" w:rsidR="00000000" w:rsidRPr="00000000">
        <w:rPr>
          <w:rtl w:val="0"/>
        </w:rPr>
        <w:t xml:space="preserve">Housing Initiatives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ANZ is focusing on increasing supply through innovative models: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Queensland Housing Investment Fund:</w:t>
      </w:r>
      <w:r w:rsidDel="00000000" w:rsidR="00000000" w:rsidRPr="00000000">
        <w:rPr>
          <w:rtl w:val="0"/>
        </w:rPr>
        <w:t xml:space="preserve">  Over $800 million provided for 1,443 social and affordable homes.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Specialist Disability Accommodation (SDA):</w:t>
      </w:r>
      <w:r w:rsidDel="00000000" w:rsidR="00000000" w:rsidRPr="00000000">
        <w:rPr>
          <w:rtl w:val="0"/>
        </w:rPr>
        <w:t xml:space="preserve">  Over $700 million in funding provided since 2018.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New Zealand Community Housing:</w:t>
      </w:r>
      <w:r w:rsidDel="00000000" w:rsidR="00000000" w:rsidRPr="00000000">
        <w:rPr>
          <w:rtl w:val="0"/>
        </w:rPr>
        <w:t xml:space="preserve">  NZ$150 million facility provided to the Community Housing Funding Agency.</w:t>
      </w:r>
    </w:p>
    <w:p w:rsidR="00000000" w:rsidDel="00000000" w:rsidP="00000000" w:rsidRDefault="00000000" w:rsidRPr="00000000" w14:paraId="00000043">
      <w:pPr>
        <w:pStyle w:val="Heading4"/>
        <w:rPr/>
      </w:pPr>
      <w:bookmarkStart w:colFirst="0" w:colLast="0" w:name="_gnvrbs4l2ihe" w:id="16"/>
      <w:bookmarkEnd w:id="16"/>
      <w:r w:rsidDel="00000000" w:rsidR="00000000" w:rsidRPr="00000000">
        <w:rPr>
          <w:rtl w:val="0"/>
        </w:rPr>
        <w:t xml:space="preserve">Information Security and Financial Crime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 counter increasingly sophisticated cybercrime, ANZ has introduced several first-to-market security features.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bzn19m2g4re1" w:id="17"/>
      <w:bookmarkEnd w:id="17"/>
      <w:r w:rsidDel="00000000" w:rsidR="00000000" w:rsidRPr="00000000">
        <w:rPr>
          <w:rtl w:val="0"/>
        </w:rPr>
        <w:t xml:space="preserve">Fraud and Scams Prevention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  <w:t xml:space="preserve">  Prevented or recovered over $220 million in fraud and scam-related funds in 2025.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BioCatch Trust:</w:t>
      </w:r>
      <w:r w:rsidDel="00000000" w:rsidR="00000000" w:rsidRPr="00000000">
        <w:rPr>
          <w:rtl w:val="0"/>
        </w:rPr>
        <w:t xml:space="preserve">  An inter-bank intelligence network used to assess receiving accounts in real-time.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Digital Padlock:</w:t>
      </w:r>
      <w:r w:rsidDel="00000000" w:rsidR="00000000" w:rsidRPr="00000000">
        <w:rPr>
          <w:rtl w:val="0"/>
        </w:rPr>
        <w:t xml:space="preserve">  An Australian-first feature allowing customers to instantly lock down accounts.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CallSafe:</w:t>
      </w:r>
      <w:r w:rsidDel="00000000" w:rsidR="00000000" w:rsidRPr="00000000">
        <w:rPr>
          <w:rtl w:val="0"/>
        </w:rPr>
        <w:t xml:space="preserve">  Authenticated over 40,000 calls to verify ANZ employees and protect against impersonation.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Confirmation of Payee:</w:t>
      </w:r>
      <w:r w:rsidDel="00000000" w:rsidR="00000000" w:rsidRPr="00000000">
        <w:rPr>
          <w:rtl w:val="0"/>
        </w:rPr>
        <w:t xml:space="preserve">  Led to over 200,000 abandoned payments in Australia due to mismatched account details.</w:t>
      </w:r>
    </w:p>
    <w:p w:rsidR="00000000" w:rsidDel="00000000" w:rsidP="00000000" w:rsidRDefault="00000000" w:rsidRPr="00000000" w14:paraId="0000004B">
      <w:pPr>
        <w:pStyle w:val="Heading5"/>
        <w:rPr/>
      </w:pPr>
      <w:bookmarkStart w:colFirst="0" w:colLast="0" w:name="_4knj7jwvv69p" w:id="18"/>
      <w:bookmarkEnd w:id="18"/>
      <w:r w:rsidDel="00000000" w:rsidR="00000000" w:rsidRPr="00000000">
        <w:rPr>
          <w:rtl w:val="0"/>
        </w:rPr>
        <w:t xml:space="preserve">Cyber Security and Data Protection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Security Behaviour Index (SBI):</w:t>
      </w:r>
      <w:r w:rsidDel="00000000" w:rsidR="00000000" w:rsidRPr="00000000">
        <w:rPr>
          <w:rtl w:val="0"/>
        </w:rPr>
        <w:t xml:space="preserve">  An internal metric used to evaluate employee security habits.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Phishing Awareness:</w:t>
      </w:r>
      <w:r w:rsidDel="00000000" w:rsidR="00000000" w:rsidRPr="00000000">
        <w:rPr>
          <w:rtl w:val="0"/>
        </w:rPr>
        <w:t xml:space="preserve">  Conducted seven major cyber exercises in 2025.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Breaches:</w:t>
      </w:r>
      <w:r w:rsidDel="00000000" w:rsidR="00000000" w:rsidRPr="00000000">
        <w:rPr>
          <w:rtl w:val="0"/>
        </w:rPr>
        <w:t xml:space="preserve">  Reported four notifiable breaches (one in Australia, three in New Zealand) involving five total individuals.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ywc0b9chopp5" w:id="19"/>
      <w:bookmarkEnd w:id="19"/>
      <w:r w:rsidDel="00000000" w:rsidR="00000000" w:rsidRPr="00000000">
        <w:rPr>
          <w:rtl w:val="0"/>
        </w:rPr>
        <w:t xml:space="preserve">Ethics and Governance</w:t>
      </w:r>
    </w:p>
    <w:p w:rsidR="00000000" w:rsidDel="00000000" w:rsidP="00000000" w:rsidRDefault="00000000" w:rsidRPr="00000000" w14:paraId="00000050">
      <w:pPr>
        <w:pStyle w:val="Heading5"/>
        <w:rPr/>
      </w:pPr>
      <w:bookmarkStart w:colFirst="0" w:colLast="0" w:name="_tm2hxcl9doc" w:id="20"/>
      <w:bookmarkEnd w:id="20"/>
      <w:r w:rsidDel="00000000" w:rsidR="00000000" w:rsidRPr="00000000">
        <w:rPr>
          <w:rtl w:val="0"/>
        </w:rPr>
        <w:t xml:space="preserve">Governance Framework Changes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Board EESG Committee:</w:t>
      </w:r>
      <w:r w:rsidDel="00000000" w:rsidR="00000000" w:rsidRPr="00000000">
        <w:rPr>
          <w:rtl w:val="0"/>
        </w:rPr>
        <w:t xml:space="preserve">  Discontinued in May 2025; responsibilities reallocated to the Board and other sub-committees.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Climate and Environment Committee (CEC):</w:t>
      </w:r>
      <w:r w:rsidDel="00000000" w:rsidR="00000000" w:rsidRPr="00000000">
        <w:rPr>
          <w:rtl w:val="0"/>
        </w:rPr>
        <w:t xml:space="preserve">  Established in March 2025 as a decision-making body for climate strategy execution.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ESG Link to Remuneration:</w:t>
      </w:r>
      <w:r w:rsidDel="00000000" w:rsidR="00000000" w:rsidRPr="00000000">
        <w:rPr>
          <w:rtl w:val="0"/>
        </w:rPr>
        <w:t xml:space="preserve">  The CEO’s Short Term Variable Remuneration (STVR) is tied to the Group Scorecard, which includes delivery of environmental ESG targets and an improved Inclusion Index.</w:t>
      </w:r>
    </w:p>
    <w:p w:rsidR="00000000" w:rsidDel="00000000" w:rsidP="00000000" w:rsidRDefault="00000000" w:rsidRPr="00000000" w14:paraId="00000054">
      <w:pPr>
        <w:pStyle w:val="Heading5"/>
        <w:rPr/>
      </w:pPr>
      <w:bookmarkStart w:colFirst="0" w:colLast="0" w:name="_jjq6h8xwb0ou" w:id="21"/>
      <w:bookmarkEnd w:id="21"/>
      <w:r w:rsidDel="00000000" w:rsidR="00000000" w:rsidRPr="00000000">
        <w:rPr>
          <w:rtl w:val="0"/>
        </w:rPr>
        <w:t xml:space="preserve">Conduct and Whistleblowing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of Conduct:</w:t>
      </w:r>
      <w:r w:rsidDel="00000000" w:rsidR="00000000" w:rsidRPr="00000000">
        <w:rPr>
          <w:rtl w:val="0"/>
        </w:rPr>
        <w:t xml:space="preserve">  1,569 employee relations cases of alleged breaches were recorded in 2025. Formal consequences (warnings, terminations, or departures) occurred in 567 cases.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Whistleblower Program:</w:t>
      </w:r>
      <w:r w:rsidDel="00000000" w:rsidR="00000000" w:rsidRPr="00000000">
        <w:rPr>
          <w:rtl w:val="0"/>
        </w:rPr>
        <w:t xml:space="preserve">  264 reports received in 2025. 61% were within the program's scope. Outcomes included terminations and remediation of policy and procedures.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