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40"/>
        <w:jc w:val="center"/>
      </w:pPr>
      <w:r>
        <w:rPr>
          <w:b/>
          <w:bCs/>
          <w:color w:val="2E7D6B"/>
          <w:spacing w:val="20"/>
          <w:sz w:val="24"/>
          <w:szCs w:val="24"/>
        </w:rPr>
        <w:t xml:space="preserve">TECH DEBT RADAR</w:t>
      </w:r>
    </w:p>
    <w:p>
      <w:pPr>
        <w:spacing w:after="200"/>
        <w:jc w:val="center"/>
      </w:pPr>
      <w:r>
        <w:rPr>
          <w:b/>
          <w:bCs/>
          <w:color w:val="1F4E5F"/>
          <w:sz w:val="56"/>
          <w:szCs w:val="56"/>
        </w:rPr>
        <w:t xml:space="preserve">Features Guide</w:t>
      </w:r>
    </w:p>
    <w:p>
      <w:pPr>
        <w:spacing w:after="800"/>
        <w:jc w:val="center"/>
      </w:pPr>
      <w:r>
        <w:rPr>
          <w:i/>
          <w:iCs/>
          <w:color w:val="5A6B6B"/>
          <w:sz w:val="28"/>
          <w:szCs w:val="28"/>
        </w:rPr>
        <w:t xml:space="preserve">A Guide for Engineers and Engineering Managers</w:t>
      </w:r>
    </w:p>
    <w:p>
      <w:pPr>
        <w:pBdr>
          <w:top w:val="single" w:color="CCCCCC" w:sz="6" w:space="12"/>
        </w:pBdr>
        <w:spacing w:before="400"/>
        <w:jc w:val="center"/>
      </w:pPr>
      <w:r>
        <w:rPr>
          <w:color w:val="5A6B6B"/>
          <w:sz w:val="20"/>
          <w:szCs w:val="20"/>
        </w:rPr>
        <w:t xml:space="preserve">Reviewing code, understanding debt, and acting on recommendations</w:t>
      </w:r>
    </w:p>
    <w:p>
      <w:r>
        <w:br w:type="page"/>
      </w:r>
    </w:p>
    <w:p>
      <w:pPr>
        <w:pStyle w:val="Heading1"/>
        <w:spacing w:after="240"/>
      </w:pPr>
      <w:r>
        <w:t xml:space="preserve">Contents</w:t>
      </w:r>
    </w:p>
    <w:p>
      <w:pPr>
        <w:tabs>
          <w:tab w:val="right" w:pos="9360" w:leader="dot"/>
        </w:tabs>
        <w:spacing w:after="140"/>
      </w:pPr>
      <w:r>
        <w:rPr>
          <w:sz w:val="22"/>
          <w:szCs w:val="22"/>
        </w:rPr>
        <w:t xml:space="preserve">1. Introduction</w:t>
      </w:r>
      <w:r>
        <w:ptab w:alignment="right" w:relativeTo="margin" w:leader="dot"/>
      </w:r>
      <w:r>
        <w:rPr>
          <w:sz w:val="22"/>
          <w:szCs w:val="22"/>
        </w:rPr>
        <w:t xml:space="preserve">3</w:t>
      </w:r>
    </w:p>
    <w:p>
      <w:pPr>
        <w:tabs>
          <w:tab w:val="right" w:pos="9360" w:leader="dot"/>
        </w:tabs>
        <w:spacing w:after="140"/>
      </w:pPr>
      <w:r>
        <w:rPr>
          <w:sz w:val="22"/>
          <w:szCs w:val="22"/>
        </w:rPr>
        <w:t xml:space="preserve">2. Understanding the Debt Score</w:t>
      </w:r>
      <w:r>
        <w:ptab w:alignment="right" w:relativeTo="margin" w:leader="dot"/>
      </w:r>
      <w:r>
        <w:rPr>
          <w:sz w:val="22"/>
          <w:szCs w:val="22"/>
        </w:rPr>
        <w:t xml:space="preserve">3</w:t>
      </w:r>
    </w:p>
    <w:p>
      <w:pPr>
        <w:tabs>
          <w:tab w:val="right" w:pos="9360" w:leader="dot"/>
        </w:tabs>
        <w:spacing w:after="140"/>
      </w:pPr>
      <w:r>
        <w:rPr>
          <w:sz w:val="22"/>
          <w:szCs w:val="22"/>
        </w:rPr>
        <w:t xml:space="preserve">3. Reviewing Code: Where to Start</w:t>
      </w:r>
      <w:r>
        <w:ptab w:alignment="right" w:relativeTo="margin" w:leader="dot"/>
      </w:r>
      <w:r>
        <w:rPr>
          <w:sz w:val="22"/>
          <w:szCs w:val="22"/>
        </w:rPr>
        <w:t xml:space="preserve">3</w:t>
      </w:r>
    </w:p>
    <w:p>
      <w:pPr>
        <w:tabs>
          <w:tab w:val="right" w:pos="9360" w:leader="dot"/>
        </w:tabs>
        <w:spacing w:after="140"/>
      </w:pPr>
      <w:r>
        <w:rPr>
          <w:sz w:val="22"/>
          <w:szCs w:val="22"/>
        </w:rPr>
        <w:t xml:space="preserve">4. Dependency Graph and Blast-Radius Analysis</w:t>
      </w:r>
      <w:r>
        <w:ptab w:alignment="right" w:relativeTo="margin" w:leader="dot"/>
      </w:r>
      <w:r>
        <w:rPr>
          <w:sz w:val="22"/>
          <w:szCs w:val="22"/>
        </w:rPr>
        <w:t xml:space="preserve">3</w:t>
      </w:r>
    </w:p>
    <w:p>
      <w:pPr>
        <w:tabs>
          <w:tab w:val="right" w:pos="9360" w:leader="dot"/>
        </w:tabs>
        <w:spacing w:after="140"/>
      </w:pPr>
      <w:r>
        <w:rPr>
          <w:sz w:val="22"/>
          <w:szCs w:val="22"/>
        </w:rPr>
        <w:t xml:space="preserve">5. Architecture Tab: AI-Generated Module Narratives</w:t>
      </w:r>
      <w:r>
        <w:ptab w:alignment="right" w:relativeTo="margin" w:leader="dot"/>
      </w:r>
      <w:r>
        <w:rPr>
          <w:sz w:val="22"/>
          <w:szCs w:val="22"/>
        </w:rPr>
        <w:t xml:space="preserve">4</w:t>
      </w:r>
    </w:p>
    <w:p>
      <w:pPr>
        <w:tabs>
          <w:tab w:val="right" w:pos="9360" w:leader="dot"/>
        </w:tabs>
        <w:spacing w:after="140"/>
      </w:pPr>
      <w:r>
        <w:rPr>
          <w:sz w:val="22"/>
          <w:szCs w:val="22"/>
        </w:rPr>
        <w:t xml:space="preserve">6. Pull-Request History Mining</w:t>
      </w:r>
      <w:r>
        <w:ptab w:alignment="right" w:relativeTo="margin" w:leader="dot"/>
      </w:r>
      <w:r>
        <w:rPr>
          <w:sz w:val="22"/>
          <w:szCs w:val="22"/>
        </w:rPr>
        <w:t xml:space="preserve">4</w:t>
      </w:r>
    </w:p>
    <w:p>
      <w:pPr>
        <w:tabs>
          <w:tab w:val="right" w:pos="9360" w:leader="dot"/>
        </w:tabs>
        <w:spacing w:after="140"/>
      </w:pPr>
      <w:r>
        <w:rPr>
          <w:sz w:val="22"/>
          <w:szCs w:val="22"/>
        </w:rPr>
        <w:t xml:space="preserve">7. Trend History</w:t>
      </w:r>
      <w:r>
        <w:ptab w:alignment="right" w:relativeTo="margin" w:leader="dot"/>
      </w:r>
      <w:r>
        <w:rPr>
          <w:sz w:val="22"/>
          <w:szCs w:val="22"/>
        </w:rPr>
        <w:t xml:space="preserve">5</w:t>
      </w:r>
    </w:p>
    <w:p>
      <w:pPr>
        <w:tabs>
          <w:tab w:val="right" w:pos="9360" w:leader="dot"/>
        </w:tabs>
        <w:spacing w:after="140"/>
      </w:pPr>
      <w:r>
        <w:rPr>
          <w:sz w:val="22"/>
          <w:szCs w:val="22"/>
        </w:rPr>
        <w:t xml:space="preserve">8. MCP Server: Using Tech Debt Radar From an Editor or Agent</w:t>
      </w:r>
      <w:r>
        <w:ptab w:alignment="right" w:relativeTo="margin" w:leader="dot"/>
      </w:r>
      <w:r>
        <w:rPr>
          <w:sz w:val="22"/>
          <w:szCs w:val="22"/>
        </w:rPr>
        <w:t xml:space="preserve">5</w:t>
      </w:r>
    </w:p>
    <w:p>
      <w:pPr>
        <w:tabs>
          <w:tab w:val="right" w:pos="9360" w:leader="dot"/>
        </w:tabs>
        <w:spacing w:after="140"/>
      </w:pPr>
      <w:r>
        <w:rPr>
          <w:sz w:val="22"/>
          <w:szCs w:val="22"/>
        </w:rPr>
        <w:t xml:space="preserve">9. Using Recommendations to Fix Debt</w:t>
      </w:r>
      <w:r>
        <w:ptab w:alignment="right" w:relativeTo="margin" w:leader="dot"/>
      </w:r>
      <w:r>
        <w:rPr>
          <w:sz w:val="22"/>
          <w:szCs w:val="22"/>
        </w:rPr>
        <w:t xml:space="preserve">5</w:t>
      </w:r>
    </w:p>
    <w:p>
      <w:pPr>
        <w:tabs>
          <w:tab w:val="right" w:pos="9360" w:leader="dot"/>
        </w:tabs>
        <w:spacing w:after="140"/>
      </w:pPr>
      <w:r>
        <w:rPr>
          <w:sz w:val="22"/>
          <w:szCs w:val="22"/>
        </w:rPr>
        <w:t xml:space="preserve">10. Recommended Review Workflow</w:t>
      </w:r>
      <w:r>
        <w:ptab w:alignment="right" w:relativeTo="margin" w:leader="dot"/>
      </w:r>
      <w:r>
        <w:rPr>
          <w:sz w:val="22"/>
          <w:szCs w:val="22"/>
        </w:rPr>
        <w:t xml:space="preserve">6</w:t>
      </w:r>
    </w:p>
    <w:p>
      <w:pPr>
        <w:tabs>
          <w:tab w:val="right" w:pos="9360" w:leader="dot"/>
        </w:tabs>
        <w:spacing w:after="140"/>
      </w:pPr>
      <w:r>
        <w:rPr>
          <w:sz w:val="22"/>
          <w:szCs w:val="22"/>
        </w:rPr>
        <w:t xml:space="preserve">11. Deployment and Data Privacy</w:t>
      </w:r>
      <w:r>
        <w:ptab w:alignment="right" w:relativeTo="margin" w:leader="dot"/>
      </w:r>
      <w:r>
        <w:rPr>
          <w:sz w:val="22"/>
          <w:szCs w:val="22"/>
        </w:rPr>
        <w:t xml:space="preserve">6</w:t>
      </w:r>
    </w:p>
    <w:p>
      <w:r>
        <w:br w:type="page"/>
      </w:r>
    </w:p>
    <w:p>
      <w:pPr>
        <w:pStyle w:val="Heading1"/>
        <w:pBdr>
          <w:bottom w:val="single" w:color="CCCCCC" w:sz="4" w:space="4"/>
        </w:pBdr>
        <w:spacing w:after="160" w:before="360"/>
      </w:pPr>
      <w:r>
        <w:rPr>
          <w:b/>
          <w:bCs/>
          <w:color w:val="1F4E5F"/>
          <w:sz w:val="30"/>
          <w:szCs w:val="30"/>
        </w:rPr>
        <w:t xml:space="preserve">1. Introduction</w:t>
      </w:r>
    </w:p>
    <w:p>
      <w:pPr>
        <w:spacing w:after="180" w:line="276"/>
        <w:jc w:val="left"/>
      </w:pPr>
      <w:r>
        <w:rPr>
          <w:sz w:val="21"/>
          <w:szCs w:val="21"/>
        </w:rPr>
        <w:t xml:space="preserve">This guide explains how to use Tech Debt Radar to review code, understand where technical debt concentrates, and act on the platform's recommendations. It assumes the application is already running and that at least one analysis has been completed.</w:t>
      </w:r>
    </w:p>
    <w:p>
      <w:pPr>
        <w:pStyle w:val="Heading1"/>
        <w:pBdr>
          <w:bottom w:val="single" w:color="CCCCCC" w:sz="4" w:space="4"/>
        </w:pBdr>
        <w:spacing w:after="160" w:before="360"/>
      </w:pPr>
      <w:r>
        <w:rPr>
          <w:b/>
          <w:bCs/>
          <w:color w:val="1F4E5F"/>
          <w:sz w:val="30"/>
          <w:szCs w:val="30"/>
        </w:rPr>
        <w:t xml:space="preserve">2. Understanding the Debt Score</w:t>
      </w:r>
    </w:p>
    <w:p>
      <w:pPr>
        <w:spacing w:after="180" w:line="276"/>
        <w:jc w:val="left"/>
      </w:pPr>
      <w:r>
        <w:rPr>
          <w:sz w:val="21"/>
          <w:szCs w:val="21"/>
        </w:rPr>
        <w:t xml:space="preserve">Every file and every database table receives a single debt_score, from 0 (healthy) to 1 (high debt), rendered on a green-to-amber-to-red scale throughout the application.</w:t>
      </w:r>
    </w:p>
    <w:p>
      <w:pPr>
        <w:spacing w:after="180" w:line="276"/>
        <w:jc w:val="left"/>
      </w:pPr>
      <w:r>
        <w:rPr>
          <w:sz w:val="21"/>
          <w:szCs w:val="21"/>
        </w:rPr>
        <w:t xml:space="preserve">For code, that number is 35% complexity, 20% churn (how often the file has changed over the trailing two years), 25% security (real static-analysis findings), and 20% design (maintainability index, long functions, deep nesting, parameter count, duplicate code, public surface area, and conditional complexity). For a database table, it is 30% performance (unindexed foreign keys), 15% size, 30% security (sensitive columns and over-broad grants), and 25% design (missing primary key, unenforced relationships, and table width).</w:t>
      </w:r>
    </w:p>
    <w:p>
      <w:pPr>
        <w:spacing w:after="180" w:line="276"/>
        <w:jc w:val="left"/>
      </w:pPr>
      <w:r>
        <w:rPr>
          <w:sz w:val="21"/>
          <w:szCs w:val="21"/>
        </w:rPr>
        <w:t xml:space="preserve">Selecting "How is this score calculated?" on any file or table's detail panel reveals the full breakdown, not just the total — a file at 0.55 driven mostly by churn calls for a different response than one at 0.55 driven by security findings. Every contributing metric includes an explanation of what it measures and how it is calculated.</w:t>
      </w:r>
    </w:p>
    <w:p>
      <w:pPr>
        <w:pBdr>
          <w:left w:val="single" w:color="2E7D6B" w:sz="18" w:space="8"/>
        </w:pBdr>
        <w:shd w:fill="F2F7F6" w:val="clear"/>
        <w:spacing w:after="220" w:before="100" w:line="276"/>
        <w:ind w:left="360"/>
      </w:pPr>
      <w:r>
        <w:rPr>
          <w:sz w:val="21"/>
          <w:szCs w:val="21"/>
        </w:rPr>
        <w:t xml:space="preserve">A high debt score identifies a place to look, not a verdict. Use it to decide what to review first, not as the review itself.</w:t>
      </w:r>
    </w:p>
    <w:p>
      <w:pPr>
        <w:pStyle w:val="Heading1"/>
        <w:pBdr>
          <w:bottom w:val="single" w:color="CCCCCC" w:sz="4" w:space="4"/>
        </w:pBdr>
        <w:spacing w:after="160" w:before="360"/>
      </w:pPr>
      <w:r>
        <w:rPr>
          <w:b/>
          <w:bCs/>
          <w:color w:val="1F4E5F"/>
          <w:sz w:val="30"/>
          <w:szCs w:val="30"/>
        </w:rPr>
        <w:t xml:space="preserve">3. Reviewing Code: Where to Start</w:t>
      </w:r>
    </w:p>
    <w:p>
      <w:pPr>
        <w:pStyle w:val="ListParagraph"/>
        <w:numPr>
          <w:ilvl w:val="0"/>
          <w:numId w:val="2"/>
        </w:numPr>
        <w:spacing w:after="120" w:line="276"/>
      </w:pPr>
      <w:r>
        <w:rPr>
          <w:b/>
          <w:bCs/>
          <w:sz w:val="21"/>
          <w:szCs w:val="21"/>
        </w:rPr>
        <w:t xml:space="preserve">Code Heatmap tab</w:t>
      </w:r>
      <w:r>
        <w:rPr>
          <w:sz w:val="21"/>
          <w:szCs w:val="21"/>
        </w:rPr>
        <w:t xml:space="preserve"> — grouped by folder, tile size reflects lines of code, and color reflects debt score. This is the fastest way to see where debt concentrates before reviewing a single file.</w:t>
      </w:r>
    </w:p>
    <w:p>
      <w:pPr>
        <w:pStyle w:val="ListParagraph"/>
        <w:numPr>
          <w:ilvl w:val="0"/>
          <w:numId w:val="2"/>
        </w:numPr>
        <w:spacing w:after="120" w:line="276"/>
      </w:pPr>
      <w:r>
        <w:rPr>
          <w:sz w:val="21"/>
          <w:szCs w:val="21"/>
        </w:rPr>
        <w:t xml:space="preserve">Selecting a tile pins its full metric breakdown in the side panel — complexity, churn, security findings (with severity and the underlying finding text), and every design signal.</w:t>
      </w:r>
    </w:p>
    <w:p>
      <w:pPr>
        <w:pStyle w:val="ListParagraph"/>
        <w:numPr>
          <w:ilvl w:val="0"/>
          <w:numId w:val="2"/>
        </w:numPr>
        <w:spacing w:after="120" w:line="276"/>
      </w:pPr>
      <w:r>
        <w:rPr>
          <w:sz w:val="21"/>
          <w:szCs w:val="21"/>
        </w:rPr>
        <w:t xml:space="preserve">When a file has mined pull-request history, or at least two analysis runs behind it, its detail panel also shows a debt-trend sparkline and any insights surfaced from pull-request history. Both are worth checking before treating a metrics-only read as the whole story — a file that looks acceptable on today's metrics but carries a pull-request-mined note such as "do not reorder these two calls" is not safe to change casually.</w:t>
      </w:r>
    </w:p>
    <w:p>
      <w:pPr>
        <w:pStyle w:val="ListParagraph"/>
        <w:numPr>
          <w:ilvl w:val="0"/>
          <w:numId w:val="2"/>
        </w:numPr>
        <w:spacing w:after="120" w:line="276"/>
      </w:pPr>
      <w:r>
        <w:rPr>
          <w:sz w:val="21"/>
          <w:szCs w:val="21"/>
        </w:rPr>
        <w:t xml:space="preserve">Selecting "View dependency map" jumps to the dependency-flow graph, focused on that file, showing immediately what it depends on and what depends on it.</w:t>
      </w:r>
    </w:p>
    <w:p>
      <w:pPr>
        <w:pStyle w:val="ListParagraph"/>
        <w:numPr>
          <w:ilvl w:val="0"/>
          <w:numId w:val="2"/>
        </w:numPr>
        <w:spacing w:after="120" w:line="276"/>
      </w:pPr>
      <w:r>
        <w:rPr>
          <w:sz w:val="21"/>
          <w:szCs w:val="21"/>
        </w:rPr>
        <w:t xml:space="preserve">Selecting "Get recommendations" produces a structured, source-grounded remediation writeup (see Section 9).</w:t>
      </w:r>
    </w:p>
    <w:p>
      <w:pPr>
        <w:pStyle w:val="Heading1"/>
        <w:pBdr>
          <w:bottom w:val="single" w:color="CCCCCC" w:sz="4" w:space="4"/>
        </w:pBdr>
        <w:spacing w:after="160" w:before="360"/>
      </w:pPr>
      <w:r>
        <w:rPr>
          <w:b/>
          <w:bCs/>
          <w:color w:val="1F4E5F"/>
          <w:sz w:val="30"/>
          <w:szCs w:val="30"/>
        </w:rPr>
        <w:t xml:space="preserve">4. Dependency Graph and Blast-Radius Analysis</w:t>
      </w:r>
    </w:p>
    <w:p>
      <w:pPr>
        <w:spacing w:after="180" w:line="276"/>
        <w:jc w:val="left"/>
      </w:pPr>
      <w:r>
        <w:rPr>
          <w:sz w:val="21"/>
          <w:szCs w:val="21"/>
        </w:rPr>
        <w:t xml:space="preserve">Graph nodes represent files and database tables; edge color indicates the relationship. Pink edges represent implicit runtime couplings — two files that share a Redis key, Kafka topic, or queue or exchange name, or a common connection configuration, with no import relationship between them at all. These are exactly the couplings a "this file looks unused, delete it" judgment tends to miss. Hovering the legend explains what a pink edge represents; selecting either endpoint reveals the shared key it is based on.</w:t>
      </w:r>
    </w:p>
    <w:p>
      <w:pPr>
        <w:spacing w:after="180" w:line="276"/>
        <w:jc w:val="left"/>
      </w:pPr>
      <w:r>
        <w:rPr>
          <w:sz w:val="21"/>
          <w:szCs w:val="21"/>
        </w:rPr>
        <w:t xml:space="preserve">The Blast Radius panel, available on any focused graph node, is the tool to reach for before modifying anything that looks central to the system. Selecting a node and opening Blast Radius returns every file or table reachable within three hops, tagged upstream (what the node depends on) or downstream (what depends on the node), each with its own debt score — making it possible to see at a glance whether the affected area includes anything already fragile. Direction can be toggled from the top of the panel, and any result can be selected to re-center the graph on it.</w:t>
      </w:r>
    </w:p>
    <w:p>
      <w:pPr>
        <w:spacing w:after="180" w:line="276"/>
        <w:jc w:val="left"/>
      </w:pPr>
      <w:r>
        <w:rPr>
          <w:sz w:val="21"/>
          <w:szCs w:val="21"/>
        </w:rPr>
        <w:t xml:space="preserve">For a proposed refactor touching a file with a large downstream blast radius and a high-debt neighborhood, reviewing the blast-radius result as part of approval — rather than relying on an engineer's own assessment alone — is a practical governance step for an engineering manager to build into the review process.</w:t>
      </w:r>
    </w:p>
    <w:p>
      <w:pPr>
        <w:pStyle w:val="Heading1"/>
        <w:pBdr>
          <w:bottom w:val="single" w:color="CCCCCC" w:sz="4" w:space="4"/>
        </w:pBdr>
        <w:spacing w:after="160" w:before="360"/>
      </w:pPr>
      <w:r>
        <w:rPr>
          <w:b/>
          <w:bCs/>
          <w:color w:val="1F4E5F"/>
          <w:sz w:val="30"/>
          <w:szCs w:val="30"/>
        </w:rPr>
        <w:t xml:space="preserve">5. Architecture Tab: AI-Generated Module Narratives</w:t>
      </w:r>
    </w:p>
    <w:p>
      <w:pPr>
        <w:spacing w:after="180" w:line="276"/>
        <w:jc w:val="left"/>
      </w:pPr>
      <w:r>
        <w:rPr>
          <w:sz w:val="21"/>
          <w:szCs w:val="21"/>
        </w:rPr>
        <w:t xml:space="preserve">The Architecture tab lists modules — files grouped by folder, two levels deep beneath each repository root — sorted by average debt. Each card shows file count, total lines, average debt, and the number of high-debt files it contains, which is useful for triage on its own, without generating a narrative.</w:t>
      </w:r>
    </w:p>
    <w:p>
      <w:pPr>
        <w:spacing w:after="180" w:line="276"/>
        <w:jc w:val="left"/>
      </w:pPr>
      <w:r>
        <w:rPr>
          <w:sz w:val="21"/>
          <w:szCs w:val="21"/>
        </w:rPr>
        <w:t xml:space="preserve">Selecting "Generate narrative" on any module calls the configured AI provider and returns a written summary: what the module appears to be for, its responsibilities, its key files (with an explanation of why each matters), and specific debt or design concerns grounded in the module's real metrics and source. The result is cached — reopening the tab will not regenerate it — until the module's files or metrics actually change, at which point a "stale" indicator appears and the narrative can be regenerated.</w:t>
      </w:r>
    </w:p>
    <w:p>
      <w:pPr>
        <w:spacing w:after="180" w:line="276"/>
        <w:jc w:val="left"/>
      </w:pPr>
      <w:r>
        <w:rPr>
          <w:sz w:val="21"/>
          <w:szCs w:val="21"/>
        </w:rPr>
        <w:t xml:space="preserve">This is a strong tool for onboarding: directing a new engineer to the Architecture tab for the module they are about to work in is typically more reliable than a static onboarding document, since the narrative reflects the codebase as it currently exists rather than as it existed when a document was last updated.</w:t>
      </w:r>
    </w:p>
    <w:p>
      <w:pPr>
        <w:pBdr>
          <w:left w:val="single" w:color="2E7D6B" w:sz="18" w:space="8"/>
        </w:pBdr>
        <w:shd w:fill="F2F7F6" w:val="clear"/>
        <w:spacing w:after="220" w:before="100" w:line="276"/>
        <w:ind w:left="360"/>
      </w:pPr>
      <w:r>
        <w:rPr>
          <w:sz w:val="21"/>
          <w:szCs w:val="21"/>
        </w:rPr>
        <w:t xml:space="preserve">Module grouping is based on folder depth, not a modeled architectural boundary — a repository with many top-level files will show a correspondingly larger number of single-file modules. Treat this feature as a starting point for orientation, not a definitive service map.</w:t>
      </w:r>
    </w:p>
    <w:p>
      <w:pPr>
        <w:pStyle w:val="Heading1"/>
        <w:pBdr>
          <w:bottom w:val="single" w:color="CCCCCC" w:sz="4" w:space="4"/>
        </w:pBdr>
        <w:spacing w:after="160" w:before="360"/>
      </w:pPr>
      <w:r>
        <w:rPr>
          <w:b/>
          <w:bCs/>
          <w:color w:val="1F4E5F"/>
          <w:sz w:val="30"/>
          <w:szCs w:val="30"/>
        </w:rPr>
        <w:t xml:space="preserve">6. Pull-Request History Mining</w:t>
      </w:r>
    </w:p>
    <w:p>
      <w:pPr>
        <w:spacing w:after="180" w:line="276"/>
        <w:jc w:val="left"/>
      </w:pPr>
      <w:r>
        <w:rPr>
          <w:sz w:val="21"/>
          <w:szCs w:val="21"/>
        </w:rPr>
        <w:t xml:space="preserve">Durable knowledge from merged pull requests — the "do not do this, see the incident it caused" context that typically exists only in a pull-request description — becomes available directly in a file's detail panel once mining is enabled.</w:t>
      </w:r>
    </w:p>
    <w:p>
      <w:pPr>
        <w:spacing w:after="180" w:line="276"/>
        <w:jc w:val="left"/>
      </w:pPr>
      <w:r>
        <w:rPr>
          <w:sz w:val="21"/>
          <w:szCs w:val="21"/>
        </w:rPr>
        <w:t xml:space="preserve">To turn it on: open Admin and select PR-History Mining. The panel lists the repositories from the most recent analysis; selecting "Mine PR history" next to one detects that repository's GitHub or GitLab.com remote automatically, retrieves its recently merged pull or merge requests, and asks the configured AI provider to extract only durable findings — it is explicitly instructed to ignore routine pull requests, such as dependency bumps and formatting changes, and never to invent a finding that is not grounded in an actual pull request. Adding a GitHub or GitLab token in the same section beforehand is recommended for private repositories or when the unauthenticated rate limit is a constraint; public repositories work without one.</w:t>
      </w:r>
    </w:p>
    <w:p>
      <w:pPr>
        <w:spacing w:after="180" w:line="276"/>
        <w:jc w:val="left"/>
      </w:pPr>
      <w:r>
        <w:rPr>
          <w:sz w:val="21"/>
          <w:szCs w:val="21"/>
        </w:rPr>
        <w:t xml:space="preserve">Mining is opt-in and configured per repository, since it involves both a network call and an AI call — it never runs automatically as part of a routine analysis. Once mined, results persist across re-analyses and appear wherever the relevant file is shown in the application, and are also available through GET /api/pr-insights and the MCP server's get_pr_insights tool.</w:t>
      </w:r>
    </w:p>
    <w:p>
      <w:pPr>
        <w:pBdr>
          <w:left w:val="single" w:color="2E7D6B" w:sz="18" w:space="8"/>
        </w:pBdr>
        <w:shd w:fill="F2F7F6" w:val="clear"/>
        <w:spacing w:after="220" w:before="100" w:line="276"/>
        <w:ind w:left="360"/>
      </w:pPr>
      <w:r>
        <w:rPr>
          <w:sz w:val="21"/>
          <w:szCs w:val="21"/>
        </w:rPr>
        <w:t xml:space="preserve">This feature currently supports GitHub and GitLab.com repositories, detected from the repository's local origin remote. A self-hosted Git server is not recognized, and the application reports this clearly rather than silently skipping the step.</w:t>
      </w:r>
    </w:p>
    <w:p>
      <w:pPr>
        <w:pStyle w:val="Heading1"/>
        <w:pBdr>
          <w:bottom w:val="single" w:color="CCCCCC" w:sz="4" w:space="4"/>
        </w:pBdr>
        <w:spacing w:after="160" w:before="360"/>
      </w:pPr>
      <w:r>
        <w:rPr>
          <w:b/>
          <w:bCs/>
          <w:color w:val="1F4E5F"/>
          <w:sz w:val="30"/>
          <w:szCs w:val="30"/>
        </w:rPr>
        <w:t xml:space="preserve">7. Trend History</w:t>
      </w:r>
    </w:p>
    <w:p>
      <w:pPr>
        <w:spacing w:after="180" w:line="276"/>
        <w:jc w:val="left"/>
      </w:pPr>
      <w:r>
        <w:rPr>
          <w:sz w:val="21"/>
          <w:szCs w:val="21"/>
        </w:rPr>
        <w:t xml:space="preserve">Every analysis run adds to a running history rather than overwriting the previous one. Once at least two analyses have been run, a file or table's detail panel displays a small sparkline of its debt score over time, making it possible to distinguish a file that is genuinely getting worse from one that simply looks unfavorable in an isolated snapshot. GET /api/runs lists every past run's summary for teams that want to build their own reporting on top of the raw numbers — for example, charting average codebase debt across a quarter.</w:t>
      </w:r>
    </w:p>
    <w:p>
      <w:pPr>
        <w:spacing w:after="180" w:line="276"/>
        <w:jc w:val="left"/>
      </w:pPr>
      <w:r>
        <w:rPr>
          <w:sz w:val="21"/>
          <w:szCs w:val="21"/>
        </w:rPr>
        <w:t xml:space="preserve">Tracking this trend on a regular cadence is a more reliable signal of progress against a stated debt-reduction goal than any single snapshot on its own.</w:t>
      </w:r>
    </w:p>
    <w:p>
      <w:pPr>
        <w:pStyle w:val="Heading1"/>
        <w:pBdr>
          <w:bottom w:val="single" w:color="CCCCCC" w:sz="4" w:space="4"/>
        </w:pBdr>
        <w:spacing w:after="160" w:before="360"/>
      </w:pPr>
      <w:r>
        <w:rPr>
          <w:b/>
          <w:bCs/>
          <w:color w:val="1F4E5F"/>
          <w:sz w:val="30"/>
          <w:szCs w:val="30"/>
        </w:rPr>
        <w:t xml:space="preserve">8. MCP Server: Using Tech Debt Radar From an Editor or Agent</w:t>
      </w:r>
    </w:p>
    <w:p>
      <w:pPr>
        <w:spacing w:after="180" w:line="276"/>
        <w:jc w:val="left"/>
      </w:pPr>
      <w:r>
        <w:rPr>
          <w:sz w:val="21"/>
          <w:szCs w:val="21"/>
        </w:rPr>
        <w:t xml:space="preserve">backend/mcp_server.py exposes the most recent analysis run to any MCP-compatible client — Claude Code, Cursor, Claude Desktop, or any other tool that speaks the Model Context Protocol. Configuration details are documented in the server's own source file and in the Admin panel's MCP Server section.</w:t>
      </w:r>
    </w:p>
    <w:p>
      <w:pPr>
        <w:spacing w:after="180" w:line="276"/>
        <w:jc w:val="left"/>
      </w:pPr>
      <w:r>
        <w:rPr>
          <w:sz w:val="21"/>
          <w:szCs w:val="21"/>
        </w:rPr>
        <w:t xml:space="preserve">Once connected, an engineer or their coding agent can ask questions such as "what is the debt situation in the billing module," "what would touching this file put at risk" (backed by the blast-radius query), or "what does pull-request history say about this file," directly from within an editor, without opening the web dashboard. The one action an agent can take through this integration — proposing an annotation — never takes effect on its own: it is queued for review in Admin under Pending Annotations, where a human approves or rejects it before it has any visible effect. If an agent notices something worth flagging while working — for example, a hidden dependency on an environment variable that static analysis cannot see — that note appears there for review rather than silently taking effect.</w:t>
      </w:r>
    </w:p>
    <w:p>
      <w:pPr>
        <w:pStyle w:val="Heading1"/>
        <w:pBdr>
          <w:bottom w:val="single" w:color="CCCCCC" w:sz="4" w:space="4"/>
        </w:pBdr>
        <w:spacing w:after="160" w:before="360"/>
      </w:pPr>
      <w:r>
        <w:rPr>
          <w:b/>
          <w:bCs/>
          <w:color w:val="1F4E5F"/>
          <w:sz w:val="30"/>
          <w:szCs w:val="30"/>
        </w:rPr>
        <w:t xml:space="preserve">9. Using Recommendations to Fix Debt</w:t>
      </w:r>
    </w:p>
    <w:p>
      <w:pPr>
        <w:spacing w:after="180" w:line="276"/>
        <w:jc w:val="left"/>
      </w:pPr>
      <w:r>
        <w:rPr>
          <w:sz w:val="21"/>
          <w:szCs w:val="21"/>
        </w:rPr>
        <w:t xml:space="preserve">Selecting any file or table, then "Get recommendations," prompts the configured AI provider with the file's real source, not just its metrics, and returns: what is driving the score; a critique grounded in the design-pattern violations visible in the code (or, for TypeScript, React, and Angular files, the team's own stated front-end practices, where configured); a prioritized list of fixes with before-and-after snippets where that clarifies the change; and a single "quick win" — the smallest change expected to help soonest.</w:t>
      </w:r>
    </w:p>
    <w:p>
      <w:pPr>
        <w:spacing w:after="180" w:line="276"/>
        <w:jc w:val="left"/>
      </w:pPr>
      <w:r>
        <w:rPr>
          <w:sz w:val="21"/>
          <w:szCs w:val="21"/>
        </w:rPr>
        <w:t xml:space="preserve">Each individual finding carries its own confidence rating — High, Medium, or Low — rather than one blanket confidence level for the whole response, so findings can be prioritized accordingly within a single answer. Feedback on any recommendation, given with a thumbs up or down, is used as guidance on subsequent calls, steering the model away from repeating patterns that were previously marked unhelpful.</w:t>
      </w:r>
    </w:p>
    <w:p>
      <w:pPr>
        <w:spacing w:after="180" w:line="276"/>
        <w:jc w:val="left"/>
      </w:pPr>
      <w:r>
        <w:rPr>
          <w:sz w:val="21"/>
          <w:szCs w:val="21"/>
        </w:rPr>
        <w:t xml:space="preserve">The quick-win item on each recommendation is a practical, low-cost starting point for a team building a backlog of debt-reduction work without committing to a full refactor effort — a running list of quick wins across the highest-debt files is a reasonable first backlog for a team beginning to address technical debt systematically.</w:t>
      </w:r>
    </w:p>
    <w:p>
      <w:pPr>
        <w:pStyle w:val="Heading1"/>
        <w:pBdr>
          <w:bottom w:val="single" w:color="CCCCCC" w:sz="4" w:space="4"/>
        </w:pBdr>
        <w:spacing w:after="160" w:before="360"/>
      </w:pPr>
      <w:r>
        <w:rPr>
          <w:b/>
          <w:bCs/>
          <w:color w:val="1F4E5F"/>
          <w:sz w:val="30"/>
          <w:szCs w:val="30"/>
        </w:rPr>
        <w:t xml:space="preserve">10. Recommended Review Workflow</w:t>
      </w:r>
    </w:p>
    <w:p>
      <w:pPr>
        <w:pStyle w:val="ListParagraph"/>
        <w:numPr>
          <w:ilvl w:val="0"/>
          <w:numId w:val="2"/>
        </w:numPr>
        <w:spacing w:after="120" w:line="276"/>
      </w:pPr>
      <w:r>
        <w:rPr>
          <w:b/>
          <w:bCs/>
          <w:sz w:val="21"/>
          <w:szCs w:val="21"/>
        </w:rPr>
        <w:t xml:space="preserve">Weekly or per release</w:t>
      </w:r>
      <w:r>
        <w:rPr>
          <w:sz w:val="21"/>
          <w:szCs w:val="21"/>
        </w:rPr>
        <w:t xml:space="preserve"> — re-run the analysis and check the trend sparkline on known problem files. Is anything getting worse?</w:t>
      </w:r>
    </w:p>
    <w:p>
      <w:pPr>
        <w:pStyle w:val="ListParagraph"/>
        <w:numPr>
          <w:ilvl w:val="0"/>
          <w:numId w:val="2"/>
        </w:numPr>
        <w:spacing w:after="120" w:line="276"/>
      </w:pPr>
      <w:r>
        <w:rPr>
          <w:b/>
          <w:bCs/>
          <w:sz w:val="21"/>
          <w:szCs w:val="21"/>
        </w:rPr>
        <w:t xml:space="preserve">Before a refactor</w:t>
      </w:r>
      <w:r>
        <w:rPr>
          <w:sz w:val="21"/>
          <w:szCs w:val="21"/>
        </w:rPr>
        <w:t xml:space="preserve"> — review the target file's blast radius in both directions before starting, not after something breaks. Pay particular attention to pink coupling edges, which a routine code review will not catch.</w:t>
      </w:r>
    </w:p>
    <w:p>
      <w:pPr>
        <w:pStyle w:val="ListParagraph"/>
        <w:numPr>
          <w:ilvl w:val="0"/>
          <w:numId w:val="2"/>
        </w:numPr>
        <w:spacing w:after="120" w:line="276"/>
      </w:pPr>
      <w:r>
        <w:rPr>
          <w:b/>
          <w:bCs/>
          <w:sz w:val="21"/>
          <w:szCs w:val="21"/>
        </w:rPr>
        <w:t xml:space="preserve">Before assigning debt-reduction work</w:t>
      </w:r>
      <w:r>
        <w:rPr>
          <w:sz w:val="21"/>
          <w:szCs w:val="21"/>
        </w:rPr>
        <w:t xml:space="preserve"> — open the Architecture tab, generate narratives for the highest-average-debt modules, and use the concerns each narrative surfaces as a starting backlog rather than re-deriving one from scratch in a meeting.</w:t>
      </w:r>
    </w:p>
    <w:p>
      <w:pPr>
        <w:pStyle w:val="ListParagraph"/>
        <w:numPr>
          <w:ilvl w:val="0"/>
          <w:numId w:val="2"/>
        </w:numPr>
        <w:spacing w:after="120" w:line="276"/>
      </w:pPr>
      <w:r>
        <w:rPr>
          <w:b/>
          <w:bCs/>
          <w:sz w:val="21"/>
          <w:szCs w:val="21"/>
        </w:rPr>
        <w:t xml:space="preserve">Onboarding a new engineer to a module</w:t>
      </w:r>
      <w:r>
        <w:rPr>
          <w:sz w:val="21"/>
          <w:szCs w:val="21"/>
        </w:rPr>
        <w:t xml:space="preserve"> — start with the Architecture tab narrative, follow with the dependency graph for that module, then let them ask specific questions through the Ask feature — all grounded in the same real metrics rather than three separate sources of truth.</w:t>
      </w:r>
    </w:p>
    <w:p>
      <w:pPr>
        <w:pStyle w:val="ListParagraph"/>
        <w:numPr>
          <w:ilvl w:val="0"/>
          <w:numId w:val="2"/>
        </w:numPr>
        <w:spacing w:after="120" w:line="276"/>
      </w:pPr>
      <w:r>
        <w:rPr>
          <w:b/>
          <w:bCs/>
          <w:sz w:val="21"/>
          <w:szCs w:val="21"/>
        </w:rPr>
        <w:t xml:space="preserve">When PR mining is enabled</w:t>
      </w:r>
      <w:r>
        <w:rPr>
          <w:sz w:val="21"/>
          <w:szCs w:val="21"/>
        </w:rPr>
        <w:t xml:space="preserve"> — check a file's PR-insights panel before a nontrivial change, the same way a reviewer would check commit history or blame — it is the same kind of information, pre-extracted and distilled.</w:t>
      </w:r>
    </w:p>
    <w:p>
      <w:pPr>
        <w:pStyle w:val="Heading1"/>
        <w:pBdr>
          <w:bottom w:val="single" w:color="CCCCCC" w:sz="4" w:space="4"/>
        </w:pBdr>
        <w:spacing w:after="160" w:before="360"/>
      </w:pPr>
      <w:r>
        <w:rPr>
          <w:b/>
          <w:bCs/>
          <w:color w:val="1F4E5F"/>
          <w:sz w:val="30"/>
          <w:szCs w:val="30"/>
        </w:rPr>
        <w:t xml:space="preserve">11. Deployment and Data Privacy</w:t>
      </w:r>
    </w:p>
    <w:p>
      <w:pPr>
        <w:spacing w:after="180" w:line="276"/>
        <w:jc w:val="left"/>
      </w:pPr>
      <w:r>
        <w:rPr>
          <w:sz w:val="21"/>
          <w:szCs w:val="21"/>
        </w:rPr>
        <w:t xml:space="preserve">Tech Debt Radar is fully self-hosted and introduces no required third-party service. The only outbound network calls are the ones an operator explicitly enables: calls to the configured AI provider, used the same way the Ask feature and recommendations already use it, and, only when PR-history mining is turned on for a repository, read-only calls to the GitHub or GitLab public REST API. Every other capability described in this guide — the coupling detector, blast-radius queries, trend history, and the MCP server — operates entirely on data the platform has already computed, on infrastructure the organization controls.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color w:val="5A6B6B"/>
        <w:sz w:val="16"/>
        <w:szCs w:val="16"/>
      </w:rPr>
      <w:t xml:space="preserve">Tech Debt Radar — Features Guide  |  Page </w:t>
    </w:r>
    <w:r>
      <w:rPr>
        <w:color w:val="5A6B6B"/>
        <w:sz w:val="16"/>
        <w:szCs w:val="16"/>
      </w:rPr>
      <w:fldChar w:fldCharType="begin"/>
      <w:instrText xml:space="preserve">PAGE</w:instrText>
      <w:fldChar w:fldCharType="separate"/>
      <w:fldChar w:fldCharType="end"/>
    </w:r>
    <w:r>
      <w:rPr>
        <w:color w:val="5A6B6B"/>
        <w:sz w:val="16"/>
        <w:szCs w:val="16"/>
      </w:rPr>
      <w:t xml:space="preserve"> of </w:t>
    </w:r>
    <w:r>
      <w:rPr>
        <w:color w:val="5A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2026-09-14T07:16:02.767Z</dcterms:created>
  <dcterms:modified xsi:type="dcterms:W3CDTF">2026-09-14T07:16:02.768Z</dcterms:modified>
</cp:coreProperties>
</file>

<file path=docProps/custom.xml><?xml version="1.0" encoding="utf-8"?>
<Properties xmlns="http://schemas.openxmlformats.org/officeDocument/2006/custom-properties" xmlns:vt="http://schemas.openxmlformats.org/officeDocument/2006/docPropsVTypes"/>
</file>