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40"/>
        <w:jc w:val="center"/>
      </w:pPr>
      <w:r>
        <w:rPr>
          <w:b/>
          <w:bCs/>
          <w:color w:val="2E7D6B"/>
          <w:spacing w:val="20"/>
          <w:sz w:val="24"/>
          <w:szCs w:val="24"/>
        </w:rPr>
        <w:t xml:space="preserve">TECH DEBT RADAR</w:t>
      </w:r>
    </w:p>
    <w:p>
      <w:pPr>
        <w:spacing w:after="200"/>
        <w:jc w:val="center"/>
      </w:pPr>
      <w:r>
        <w:rPr>
          <w:b/>
          <w:bCs/>
          <w:color w:val="1F4E5F"/>
          <w:sz w:val="56"/>
          <w:szCs w:val="56"/>
        </w:rPr>
        <w:t xml:space="preserve">Third-Party Library Inventory</w:t>
      </w:r>
    </w:p>
    <w:p>
      <w:pPr>
        <w:spacing w:after="800"/>
        <w:jc w:val="center"/>
      </w:pPr>
      <w:r>
        <w:rPr>
          <w:i/>
          <w:iCs/>
          <w:color w:val="5A6B6B"/>
          <w:sz w:val="28"/>
          <w:szCs w:val="28"/>
        </w:rPr>
        <w:t xml:space="preserve">Software Bill of Materials</w:t>
      </w:r>
    </w:p>
    <w:p>
      <w:pPr>
        <w:pBdr>
          <w:top w:val="single" w:color="CCCCCC" w:sz="6" w:space="12"/>
        </w:pBdr>
        <w:spacing w:before="400"/>
        <w:jc w:val="center"/>
      </w:pPr>
      <w:r>
        <w:rPr>
          <w:color w:val="5A6B6B"/>
          <w:sz w:val="20"/>
          <w:szCs w:val="20"/>
        </w:rPr>
        <w:t xml:space="preserve">Backend, analyzer-tool, and frontend dependencies</w:t>
      </w:r>
    </w:p>
    <w:p>
      <w:r>
        <w:br w:type="page"/>
      </w:r>
    </w:p>
    <w:p>
      <w:pPr>
        <w:pStyle w:val="Heading1"/>
        <w:spacing w:after="240"/>
      </w:pPr>
      <w:r>
        <w:t xml:space="preserve">Contents</w:t>
      </w:r>
    </w:p>
    <w:p>
      <w:pPr>
        <w:tabs>
          <w:tab w:val="right" w:pos="9360" w:leader="dot"/>
        </w:tabs>
        <w:spacing w:after="140"/>
      </w:pPr>
      <w:r>
        <w:rPr>
          <w:sz w:val="22"/>
          <w:szCs w:val="22"/>
        </w:rPr>
        <w:t xml:space="preserve">1. Overview</w:t>
      </w:r>
      <w:r>
        <w:ptab w:alignment="right" w:relativeTo="margin" w:leader="dot"/>
      </w:r>
      <w:r>
        <w:rPr>
          <w:sz w:val="22"/>
          <w:szCs w:val="22"/>
        </w:rPr>
        <w:t xml:space="preserve">3</w:t>
      </w:r>
    </w:p>
    <w:p>
      <w:pPr>
        <w:tabs>
          <w:tab w:val="right" w:pos="9360" w:leader="dot"/>
        </w:tabs>
        <w:spacing w:after="140"/>
      </w:pPr>
      <w:r>
        <w:rPr>
          <w:sz w:val="22"/>
          <w:szCs w:val="22"/>
        </w:rPr>
        <w:t xml:space="preserve">2. Backend — Python Dependencies</w:t>
      </w:r>
      <w:r>
        <w:ptab w:alignment="right" w:relativeTo="margin" w:leader="dot"/>
      </w:r>
      <w:r>
        <w:rPr>
          <w:sz w:val="22"/>
          <w:szCs w:val="22"/>
        </w:rPr>
        <w:t xml:space="preserve">3</w:t>
      </w:r>
    </w:p>
    <w:p>
      <w:pPr>
        <w:tabs>
          <w:tab w:val="right" w:pos="9360" w:leader="dot"/>
        </w:tabs>
        <w:spacing w:after="140"/>
      </w:pPr>
      <w:r>
        <w:rPr>
          <w:sz w:val="22"/>
          <w:szCs w:val="22"/>
        </w:rPr>
        <w:t xml:space="preserve">3. .NET Analyzer Tool Dependencies</w:t>
      </w:r>
      <w:r>
        <w:ptab w:alignment="right" w:relativeTo="margin" w:leader="dot"/>
      </w:r>
      <w:r>
        <w:rPr>
          <w:sz w:val="22"/>
          <w:szCs w:val="22"/>
        </w:rPr>
        <w:t xml:space="preserve">4</w:t>
      </w:r>
    </w:p>
    <w:p>
      <w:pPr>
        <w:tabs>
          <w:tab w:val="right" w:pos="9360" w:leader="dot"/>
        </w:tabs>
        <w:spacing w:after="140"/>
      </w:pPr>
      <w:r>
        <w:rPr>
          <w:sz w:val="22"/>
          <w:szCs w:val="22"/>
        </w:rPr>
        <w:t xml:space="preserve">4. TypeScript Analyzer Tool Dependencies</w:t>
      </w:r>
      <w:r>
        <w:ptab w:alignment="right" w:relativeTo="margin" w:leader="dot"/>
      </w:r>
      <w:r>
        <w:rPr>
          <w:sz w:val="22"/>
          <w:szCs w:val="22"/>
        </w:rPr>
        <w:t xml:space="preserve">5</w:t>
      </w:r>
    </w:p>
    <w:p>
      <w:pPr>
        <w:tabs>
          <w:tab w:val="right" w:pos="9360" w:leader="dot"/>
        </w:tabs>
        <w:spacing w:after="140"/>
      </w:pPr>
      <w:r>
        <w:rPr>
          <w:sz w:val="22"/>
          <w:szCs w:val="22"/>
        </w:rPr>
        <w:t xml:space="preserve">5. Frontend — JavaScript Dependencies</w:t>
      </w:r>
      <w:r>
        <w:ptab w:alignment="right" w:relativeTo="margin" w:leader="dot"/>
      </w:r>
      <w:r>
        <w:rPr>
          <w:sz w:val="22"/>
          <w:szCs w:val="22"/>
        </w:rPr>
        <w:t xml:space="preserve">5</w:t>
      </w:r>
    </w:p>
    <w:p>
      <w:pPr>
        <w:tabs>
          <w:tab w:val="right" w:pos="9360" w:leader="dot"/>
        </w:tabs>
        <w:spacing w:after="140"/>
      </w:pPr>
      <w:r>
        <w:rPr>
          <w:sz w:val="22"/>
          <w:szCs w:val="22"/>
        </w:rPr>
        <w:t xml:space="preserve">6. Maintenance and License Review</w:t>
      </w:r>
      <w:r>
        <w:ptab w:alignment="right" w:relativeTo="margin" w:leader="dot"/>
      </w:r>
      <w:r>
        <w:rPr>
          <w:sz w:val="22"/>
          <w:szCs w:val="22"/>
        </w:rPr>
        <w:t xml:space="preserve">6</w:t>
      </w:r>
    </w:p>
    <w:p>
      <w:r>
        <w:br w:type="page"/>
      </w:r>
    </w:p>
    <w:p>
      <w:pPr>
        <w:pStyle w:val="Heading1"/>
        <w:pBdr>
          <w:bottom w:val="single" w:color="CCCCCC" w:sz="4" w:space="4"/>
        </w:pBdr>
        <w:spacing w:after="160" w:before="360"/>
      </w:pPr>
      <w:r>
        <w:rPr>
          <w:b/>
          <w:bCs/>
          <w:color w:val="1F4E5F"/>
          <w:sz w:val="30"/>
          <w:szCs w:val="30"/>
        </w:rPr>
        <w:t xml:space="preserve">1. Overview</w:t>
      </w:r>
    </w:p>
    <w:p>
      <w:pPr>
        <w:spacing w:after="180" w:line="276"/>
        <w:jc w:val="left"/>
      </w:pPr>
      <w:r>
        <w:rPr>
          <w:sz w:val="21"/>
          <w:szCs w:val="21"/>
        </w:rPr>
        <w:t xml:space="preserve">This document is a software bill of materials (SBOM) for Tech Debt Radar: every third-party library the platform depends on to run, grouped by the part of the system that uses it, together with its declared version constraint, license, and the specific role it plays in the codebase.</w:t>
      </w:r>
    </w:p>
    <w:p>
      <w:pPr>
        <w:spacing w:after="180" w:line="276"/>
        <w:jc w:val="left"/>
      </w:pPr>
      <w:r>
        <w:rPr>
          <w:sz w:val="21"/>
          <w:szCs w:val="21"/>
        </w:rPr>
        <w:t xml:space="preserve">The platform is composed of four independently versioned dependency sets: the Python backend (FastAPI application and analysis pipeline), a bundled .NET analyzer tool used for Roslyn-based C# analysis, a bundled TypeScript analyzer tool used for TypeScript/React/Angular analysis, and the React frontend. Each is documented separately below, matching the platform's own module boundaries.</w:t>
      </w:r>
    </w:p>
    <w:p>
      <w:pPr>
        <w:pBdr>
          <w:left w:val="single" w:color="2E7D6B" w:sz="18" w:space="8"/>
        </w:pBdr>
        <w:shd w:fill="F2F7F6" w:val="clear"/>
        <w:spacing w:after="220" w:before="100" w:line="276"/>
        <w:ind w:left="360"/>
      </w:pPr>
      <w:r>
        <w:rPr>
          <w:sz w:val="21"/>
          <w:szCs w:val="21"/>
        </w:rPr>
        <w:t xml:space="preserve">Version numbers reflect the constraint declared in each component's dependency manifest (requirements.txt, CodeMetrics.csproj, or package.json) at the time of writing, not a specific resolved build. Where a manifest specifies a minimum or caret range rather than an exact version, that range is shown as declared.</w:t>
      </w:r>
    </w:p>
    <w:p>
      <w:pPr>
        <w:pStyle w:val="Heading1"/>
        <w:pBdr>
          <w:bottom w:val="single" w:color="CCCCCC" w:sz="4" w:space="4"/>
        </w:pBdr>
        <w:spacing w:after="160" w:before="360"/>
      </w:pPr>
      <w:r>
        <w:rPr>
          <w:b/>
          <w:bCs/>
          <w:color w:val="1F4E5F"/>
          <w:sz w:val="30"/>
          <w:szCs w:val="30"/>
        </w:rPr>
        <w:t xml:space="preserve">2. Backend — Python Dependencies</w:t>
      </w:r>
    </w:p>
    <w:p>
      <w:pPr>
        <w:spacing w:after="180" w:line="276"/>
        <w:jc w:val="left"/>
      </w:pPr>
      <w:r>
        <w:rPr>
          <w:sz w:val="21"/>
          <w:szCs w:val="21"/>
        </w:rPr>
        <w:t xml:space="preserve">Declared in backend/requirements.txt and installed into the backend's Python environment.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750"/>
        <w:gridCol w:w="1100"/>
        <w:gridCol w:w="1350"/>
        <w:gridCol w:w="5640"/>
      </w:tblGrid>
      <w:tr>
        <w:trPr>
          <w:cantSplit/>
          <w:tblHeader/>
        </w:trPr>
        <w:tc>
          <w:tcPr>
            <w:tcW w:type="dxa" w:w="1750"/>
            <w:shd w:fill="1F4E5F" w:val="clear"/>
            <w:tcMar>
              <w:top w:type="dxa" w:w="90"/>
              <w:left w:type="dxa" w:w="110"/>
              <w:bottom w:type="dxa" w:w="90"/>
              <w:right w:type="dxa" w:w="110"/>
            </w:tcMar>
          </w:tcPr>
          <w:p>
            <w:r>
              <w:rPr>
                <w:b/>
                <w:bCs/>
                <w:i w:val="false"/>
                <w:iCs w:val="false"/>
                <w:color w:val="FFFFFF"/>
                <w:sz w:val="18"/>
                <w:szCs w:val="18"/>
              </w:rPr>
              <w:t xml:space="preserve">Library</w:t>
            </w:r>
          </w:p>
        </w:tc>
        <w:tc>
          <w:tcPr>
            <w:tcW w:type="dxa" w:w="1100"/>
            <w:shd w:fill="1F4E5F" w:val="clear"/>
            <w:tcMar>
              <w:top w:type="dxa" w:w="90"/>
              <w:left w:type="dxa" w:w="110"/>
              <w:bottom w:type="dxa" w:w="90"/>
              <w:right w:type="dxa" w:w="110"/>
            </w:tcMar>
          </w:tcPr>
          <w:p>
            <w:r>
              <w:rPr>
                <w:b/>
                <w:bCs/>
                <w:i w:val="false"/>
                <w:iCs w:val="false"/>
                <w:color w:val="FFFFFF"/>
                <w:sz w:val="18"/>
                <w:szCs w:val="18"/>
              </w:rPr>
              <w:t xml:space="preserve">Version</w:t>
            </w:r>
          </w:p>
        </w:tc>
        <w:tc>
          <w:tcPr>
            <w:tcW w:type="dxa" w:w="1350"/>
            <w:shd w:fill="1F4E5F" w:val="clear"/>
            <w:tcMar>
              <w:top w:type="dxa" w:w="90"/>
              <w:left w:type="dxa" w:w="110"/>
              <w:bottom w:type="dxa" w:w="90"/>
              <w:right w:type="dxa" w:w="110"/>
            </w:tcMar>
          </w:tcPr>
          <w:p>
            <w:r>
              <w:rPr>
                <w:b/>
                <w:bCs/>
                <w:i w:val="false"/>
                <w:iCs w:val="false"/>
                <w:color w:val="FFFFFF"/>
                <w:sz w:val="18"/>
                <w:szCs w:val="18"/>
              </w:rPr>
              <w:t xml:space="preserve">License</w:t>
            </w:r>
          </w:p>
        </w:tc>
        <w:tc>
          <w:tcPr>
            <w:tcW w:type="dxa" w:w="5640"/>
            <w:shd w:fill="1F4E5F" w:val="clear"/>
            <w:tcMar>
              <w:top w:type="dxa" w:w="90"/>
              <w:left w:type="dxa" w:w="110"/>
              <w:bottom w:type="dxa" w:w="90"/>
              <w:right w:type="dxa" w:w="110"/>
            </w:tcMar>
          </w:tcPr>
          <w:p>
            <w:r>
              <w:rPr>
                <w:b/>
                <w:bCs/>
                <w:i w:val="false"/>
                <w:iCs w:val="false"/>
                <w:color w:val="FFFFFF"/>
                <w:sz w:val="18"/>
                <w:szCs w:val="18"/>
              </w:rPr>
              <w:t xml:space="preserve">Purpose in This Codebase</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fastapi</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unpinned</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MIT</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Web framework the backend API is built on — routing, request/response models, and middleware for every REST endpoint.</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uvicorn</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unpinned</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BSD-3-Clause</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ASGI server that runs the FastAPI application in development and production.</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pydantic</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unpinned</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MIT</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Request and response data validation, used throughout the API's request models.</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radon</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unpinned</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MIT</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Computes Python complexity metrics — cyclomatic complexity and maintainability index — feeding the design component of the code debt score.</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bandit</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unpinned</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Apache-2.0</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Invoked as a subprocess to run Python static security analysis; its findings feed the security component of the code debt score.</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psycopg2-binary</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unpinned</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LGPL-3.0-or-later (with linking exception)</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PostgreSQL driver, loaded by SQLAlchemy when a database connection string targets Postgres.</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pymysql</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unpinned</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MIT</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MySQL driver, loaded by SQLAlchemy when a database connection string targets MySQL.</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pyodbc</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unpinned</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MIT-0</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ODBC driver, loaded by SQLAlchemy when a database connection string targets SQL Server or another ODBC-accessible database.</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sqlalchemy</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unpinned</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MIT</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Database engine and schema-inspection layer used to connect to and introspect live databases for the database-debt analysis path.</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sqlglot</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unpinned</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MIT</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SQL parsing and dialect toolkit used to analyze database schema and DDL supplied as SQL files, independent of a live connection.</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anthropic</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unpinned</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MIT</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Official client for the Anthropic API — one of the three configurable AI providers used for recommendations, narratives, and PR-insight extraction.</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openai</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unpinned</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Apache-2.0</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OpenAI-compatible client used to reach both Google Gemini and a locally hosted Ollama instance, which expose OpenAI-compatible chat-completions endpoints.</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mcp</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 2.0</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MIT</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Official Model Context Protocol Python SDK — powers the standalone MCP server that exposes analysis results to MCP-compatible clients.</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fastembed</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unpinned</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Apache-2.0</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Generates local text embeddings for the knowledge base's semantic search, without a call to an external embedding API.</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numpy</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unpinned</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BSD-3-Clause</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Numerical operations backing the knowledge base's embedding similarity calculations.</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pypdf</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unpinned</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BSD-3-Clause</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Extracts text from PDF documents uploaded to the knowledge base.</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python-docx</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unpinned</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MIT</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Extracts text from Word documents uploaded to the knowledge base.</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python-multipart</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unpinned</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Apache-2.0</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Required by FastAPI to parse multipart form data for file-upload endpoints.</w:t>
            </w:r>
          </w:p>
        </w:tc>
      </w:tr>
    </w:tbl>
    <w:p>
      <w:pPr>
        <w:pStyle w:val="Heading1"/>
        <w:pBdr>
          <w:bottom w:val="single" w:color="CCCCCC" w:sz="4" w:space="4"/>
        </w:pBdr>
        <w:spacing w:after="160" w:before="360"/>
      </w:pPr>
      <w:r>
        <w:rPr>
          <w:b/>
          <w:bCs/>
          <w:color w:val="1F4E5F"/>
          <w:sz w:val="30"/>
          <w:szCs w:val="30"/>
        </w:rPr>
        <w:t xml:space="preserve">3. .NET Analyzer Tool Dependencies</w:t>
      </w:r>
    </w:p>
    <w:p>
      <w:pPr>
        <w:spacing w:after="180" w:line="276"/>
        <w:jc w:val="left"/>
      </w:pPr>
      <w:r>
        <w:rPr>
          <w:sz w:val="21"/>
          <w:szCs w:val="21"/>
        </w:rPr>
        <w:t xml:space="preserve">Declared in backend/dotnet_tools/CodeMetrics/CodeMetrics.csproj. This is a standalone .NET 8 console tool the Python backend shells out to for C#/.NET source analysis; it is compiled independently of the Python environment.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750"/>
        <w:gridCol w:w="1100"/>
        <w:gridCol w:w="1350"/>
        <w:gridCol w:w="5640"/>
      </w:tblGrid>
      <w:tr>
        <w:trPr>
          <w:cantSplit/>
          <w:tblHeader/>
        </w:trPr>
        <w:tc>
          <w:tcPr>
            <w:tcW w:type="dxa" w:w="1750"/>
            <w:shd w:fill="1F4E5F" w:val="clear"/>
            <w:tcMar>
              <w:top w:type="dxa" w:w="90"/>
              <w:left w:type="dxa" w:w="110"/>
              <w:bottom w:type="dxa" w:w="90"/>
              <w:right w:type="dxa" w:w="110"/>
            </w:tcMar>
          </w:tcPr>
          <w:p>
            <w:r>
              <w:rPr>
                <w:b/>
                <w:bCs/>
                <w:i w:val="false"/>
                <w:iCs w:val="false"/>
                <w:color w:val="FFFFFF"/>
                <w:sz w:val="18"/>
                <w:szCs w:val="18"/>
              </w:rPr>
              <w:t xml:space="preserve">Library</w:t>
            </w:r>
          </w:p>
        </w:tc>
        <w:tc>
          <w:tcPr>
            <w:tcW w:type="dxa" w:w="1100"/>
            <w:shd w:fill="1F4E5F" w:val="clear"/>
            <w:tcMar>
              <w:top w:type="dxa" w:w="90"/>
              <w:left w:type="dxa" w:w="110"/>
              <w:bottom w:type="dxa" w:w="90"/>
              <w:right w:type="dxa" w:w="110"/>
            </w:tcMar>
          </w:tcPr>
          <w:p>
            <w:r>
              <w:rPr>
                <w:b/>
                <w:bCs/>
                <w:i w:val="false"/>
                <w:iCs w:val="false"/>
                <w:color w:val="FFFFFF"/>
                <w:sz w:val="18"/>
                <w:szCs w:val="18"/>
              </w:rPr>
              <w:t xml:space="preserve">Version</w:t>
            </w:r>
          </w:p>
        </w:tc>
        <w:tc>
          <w:tcPr>
            <w:tcW w:type="dxa" w:w="1350"/>
            <w:shd w:fill="1F4E5F" w:val="clear"/>
            <w:tcMar>
              <w:top w:type="dxa" w:w="90"/>
              <w:left w:type="dxa" w:w="110"/>
              <w:bottom w:type="dxa" w:w="90"/>
              <w:right w:type="dxa" w:w="110"/>
            </w:tcMar>
          </w:tcPr>
          <w:p>
            <w:r>
              <w:rPr>
                <w:b/>
                <w:bCs/>
                <w:i w:val="false"/>
                <w:iCs w:val="false"/>
                <w:color w:val="FFFFFF"/>
                <w:sz w:val="18"/>
                <w:szCs w:val="18"/>
              </w:rPr>
              <w:t xml:space="preserve">License</w:t>
            </w:r>
          </w:p>
        </w:tc>
        <w:tc>
          <w:tcPr>
            <w:tcW w:type="dxa" w:w="5640"/>
            <w:shd w:fill="1F4E5F" w:val="clear"/>
            <w:tcMar>
              <w:top w:type="dxa" w:w="90"/>
              <w:left w:type="dxa" w:w="110"/>
              <w:bottom w:type="dxa" w:w="90"/>
              <w:right w:type="dxa" w:w="110"/>
            </w:tcMar>
          </w:tcPr>
          <w:p>
            <w:r>
              <w:rPr>
                <w:b/>
                <w:bCs/>
                <w:i w:val="false"/>
                <w:iCs w:val="false"/>
                <w:color w:val="FFFFFF"/>
                <w:sz w:val="18"/>
                <w:szCs w:val="18"/>
              </w:rPr>
              <w:t xml:space="preserve">Purpose in This Codebase</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Microsoft.CodeAnalysis.CSharp.Workspaces</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4.11.0</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MIT</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Roslyn's C# workspace API — parses C# source into a syntax and semantic model, the foundation of the tool's complexity, dependency, and security analysis.</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Microsoft.CodeAnalysis.Workspaces.MSBuild</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4.11.0</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MIT</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Loads .NET project and solution files (.csproj/.sln) into a Roslyn workspace so the analyzer can resolve a real project structure rather than parsing files in isolation.</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Microsoft.Build.Locator</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1.7.8</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MIT</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Locates a usable MSBuild installation at runtime so the Workspace APIs above can load project files outside of a full Visual Studio installation.</w:t>
            </w:r>
          </w:p>
        </w:tc>
      </w:tr>
    </w:tbl>
    <w:p>
      <w:pPr>
        <w:pBdr>
          <w:left w:val="single" w:color="2E7D6B" w:sz="18" w:space="8"/>
        </w:pBdr>
        <w:shd w:fill="F2F7F6" w:val="clear"/>
        <w:spacing w:after="220" w:before="100" w:line="276"/>
        <w:ind w:left="360"/>
      </w:pPr>
      <w:r>
        <w:rPr>
          <w:sz w:val="21"/>
          <w:szCs w:val="21"/>
        </w:rPr>
        <w:t xml:space="preserve">These three packages pull in Roslyn's own dependency tree at build time (the Microsoft.CodeAnalysis and Microsoft.Build assemblies, Newtonsoft.Json, Humanizer, and related System.* packages), restored automatically by NuGet and not referenced directly by the analyzer's own code.</w:t>
      </w:r>
    </w:p>
    <w:p>
      <w:pPr>
        <w:pStyle w:val="Heading1"/>
        <w:pBdr>
          <w:bottom w:val="single" w:color="CCCCCC" w:sz="4" w:space="4"/>
        </w:pBdr>
        <w:spacing w:after="160" w:before="360"/>
      </w:pPr>
      <w:r>
        <w:rPr>
          <w:b/>
          <w:bCs/>
          <w:color w:val="1F4E5F"/>
          <w:sz w:val="30"/>
          <w:szCs w:val="30"/>
        </w:rPr>
        <w:t xml:space="preserve">4. TypeScript Analyzer Tool Dependencies</w:t>
      </w:r>
    </w:p>
    <w:p>
      <w:pPr>
        <w:spacing w:after="180" w:line="276"/>
        <w:jc w:val="left"/>
      </w:pPr>
      <w:r>
        <w:rPr>
          <w:sz w:val="21"/>
          <w:szCs w:val="21"/>
        </w:rPr>
        <w:t xml:space="preserve">Declared in backend/ts_tools/CodeMetrics/package.json. This is a standalone Node.js tool the Python backend shells out to for TypeScript, React, and Angular source analysis.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750"/>
        <w:gridCol w:w="1100"/>
        <w:gridCol w:w="1350"/>
        <w:gridCol w:w="5640"/>
      </w:tblGrid>
      <w:tr>
        <w:trPr>
          <w:cantSplit/>
          <w:tblHeader/>
        </w:trPr>
        <w:tc>
          <w:tcPr>
            <w:tcW w:type="dxa" w:w="1750"/>
            <w:shd w:fill="1F4E5F" w:val="clear"/>
            <w:tcMar>
              <w:top w:type="dxa" w:w="90"/>
              <w:left w:type="dxa" w:w="110"/>
              <w:bottom w:type="dxa" w:w="90"/>
              <w:right w:type="dxa" w:w="110"/>
            </w:tcMar>
          </w:tcPr>
          <w:p>
            <w:r>
              <w:rPr>
                <w:b/>
                <w:bCs/>
                <w:i w:val="false"/>
                <w:iCs w:val="false"/>
                <w:color w:val="FFFFFF"/>
                <w:sz w:val="18"/>
                <w:szCs w:val="18"/>
              </w:rPr>
              <w:t xml:space="preserve">Library</w:t>
            </w:r>
          </w:p>
        </w:tc>
        <w:tc>
          <w:tcPr>
            <w:tcW w:type="dxa" w:w="1100"/>
            <w:shd w:fill="1F4E5F" w:val="clear"/>
            <w:tcMar>
              <w:top w:type="dxa" w:w="90"/>
              <w:left w:type="dxa" w:w="110"/>
              <w:bottom w:type="dxa" w:w="90"/>
              <w:right w:type="dxa" w:w="110"/>
            </w:tcMar>
          </w:tcPr>
          <w:p>
            <w:r>
              <w:rPr>
                <w:b/>
                <w:bCs/>
                <w:i w:val="false"/>
                <w:iCs w:val="false"/>
                <w:color w:val="FFFFFF"/>
                <w:sz w:val="18"/>
                <w:szCs w:val="18"/>
              </w:rPr>
              <w:t xml:space="preserve">Version</w:t>
            </w:r>
          </w:p>
        </w:tc>
        <w:tc>
          <w:tcPr>
            <w:tcW w:type="dxa" w:w="1350"/>
            <w:shd w:fill="1F4E5F" w:val="clear"/>
            <w:tcMar>
              <w:top w:type="dxa" w:w="90"/>
              <w:left w:type="dxa" w:w="110"/>
              <w:bottom w:type="dxa" w:w="90"/>
              <w:right w:type="dxa" w:w="110"/>
            </w:tcMar>
          </w:tcPr>
          <w:p>
            <w:r>
              <w:rPr>
                <w:b/>
                <w:bCs/>
                <w:i w:val="false"/>
                <w:iCs w:val="false"/>
                <w:color w:val="FFFFFF"/>
                <w:sz w:val="18"/>
                <w:szCs w:val="18"/>
              </w:rPr>
              <w:t xml:space="preserve">License</w:t>
            </w:r>
          </w:p>
        </w:tc>
        <w:tc>
          <w:tcPr>
            <w:tcW w:type="dxa" w:w="5640"/>
            <w:shd w:fill="1F4E5F" w:val="clear"/>
            <w:tcMar>
              <w:top w:type="dxa" w:w="90"/>
              <w:left w:type="dxa" w:w="110"/>
              <w:bottom w:type="dxa" w:w="90"/>
              <w:right w:type="dxa" w:w="110"/>
            </w:tcMar>
          </w:tcPr>
          <w:p>
            <w:r>
              <w:rPr>
                <w:b/>
                <w:bCs/>
                <w:i w:val="false"/>
                <w:iCs w:val="false"/>
                <w:color w:val="FFFFFF"/>
                <w:sz w:val="18"/>
                <w:szCs w:val="18"/>
              </w:rPr>
              <w:t xml:space="preserve">Purpose in This Codebase</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typescript</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^5.7.0</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Apache-2.0</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The TypeScript compiler API, used directly for AST-level parsing — powering complexity, dependency-graph, and front-end best-practice checks over TypeScript, React, and Angular source.</w:t>
            </w:r>
          </w:p>
        </w:tc>
      </w:tr>
    </w:tbl>
    <w:p>
      <w:pPr>
        <w:pStyle w:val="Heading1"/>
        <w:pBdr>
          <w:bottom w:val="single" w:color="CCCCCC" w:sz="4" w:space="4"/>
        </w:pBdr>
        <w:spacing w:after="160" w:before="360"/>
      </w:pPr>
      <w:r>
        <w:rPr>
          <w:b/>
          <w:bCs/>
          <w:color w:val="1F4E5F"/>
          <w:sz w:val="30"/>
          <w:szCs w:val="30"/>
        </w:rPr>
        <w:t xml:space="preserve">5. Frontend — JavaScript Dependencies</w:t>
      </w:r>
    </w:p>
    <w:p>
      <w:pPr>
        <w:spacing w:after="180" w:line="276"/>
        <w:jc w:val="left"/>
      </w:pPr>
      <w:r>
        <w:rPr>
          <w:sz w:val="21"/>
          <w:szCs w:val="21"/>
        </w:rPr>
        <w:t xml:space="preserve">Declared in frontend/package.json. The frontend is a React single-page application built with Vite.</w:t>
      </w:r>
    </w:p>
    <w:p>
      <w:pPr>
        <w:pStyle w:val="Heading3"/>
        <w:spacing w:after="100" w:before="200"/>
      </w:pPr>
      <w:r>
        <w:rPr>
          <w:b/>
          <w:bCs/>
          <w:color w:val="333333"/>
          <w:sz w:val="22"/>
          <w:szCs w:val="22"/>
        </w:rPr>
        <w:t xml:space="preserve">Runtime dependencies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750"/>
        <w:gridCol w:w="1100"/>
        <w:gridCol w:w="1350"/>
        <w:gridCol w:w="5640"/>
      </w:tblGrid>
      <w:tr>
        <w:trPr>
          <w:cantSplit/>
          <w:tblHeader/>
        </w:trPr>
        <w:tc>
          <w:tcPr>
            <w:tcW w:type="dxa" w:w="1750"/>
            <w:shd w:fill="1F4E5F" w:val="clear"/>
            <w:tcMar>
              <w:top w:type="dxa" w:w="90"/>
              <w:left w:type="dxa" w:w="110"/>
              <w:bottom w:type="dxa" w:w="90"/>
              <w:right w:type="dxa" w:w="110"/>
            </w:tcMar>
          </w:tcPr>
          <w:p>
            <w:r>
              <w:rPr>
                <w:b/>
                <w:bCs/>
                <w:i w:val="false"/>
                <w:iCs w:val="false"/>
                <w:color w:val="FFFFFF"/>
                <w:sz w:val="18"/>
                <w:szCs w:val="18"/>
              </w:rPr>
              <w:t xml:space="preserve">Library</w:t>
            </w:r>
          </w:p>
        </w:tc>
        <w:tc>
          <w:tcPr>
            <w:tcW w:type="dxa" w:w="1100"/>
            <w:shd w:fill="1F4E5F" w:val="clear"/>
            <w:tcMar>
              <w:top w:type="dxa" w:w="90"/>
              <w:left w:type="dxa" w:w="110"/>
              <w:bottom w:type="dxa" w:w="90"/>
              <w:right w:type="dxa" w:w="110"/>
            </w:tcMar>
          </w:tcPr>
          <w:p>
            <w:r>
              <w:rPr>
                <w:b/>
                <w:bCs/>
                <w:i w:val="false"/>
                <w:iCs w:val="false"/>
                <w:color w:val="FFFFFF"/>
                <w:sz w:val="18"/>
                <w:szCs w:val="18"/>
              </w:rPr>
              <w:t xml:space="preserve">Version</w:t>
            </w:r>
          </w:p>
        </w:tc>
        <w:tc>
          <w:tcPr>
            <w:tcW w:type="dxa" w:w="1350"/>
            <w:shd w:fill="1F4E5F" w:val="clear"/>
            <w:tcMar>
              <w:top w:type="dxa" w:w="90"/>
              <w:left w:type="dxa" w:w="110"/>
              <w:bottom w:type="dxa" w:w="90"/>
              <w:right w:type="dxa" w:w="110"/>
            </w:tcMar>
          </w:tcPr>
          <w:p>
            <w:r>
              <w:rPr>
                <w:b/>
                <w:bCs/>
                <w:i w:val="false"/>
                <w:iCs w:val="false"/>
                <w:color w:val="FFFFFF"/>
                <w:sz w:val="18"/>
                <w:szCs w:val="18"/>
              </w:rPr>
              <w:t xml:space="preserve">License</w:t>
            </w:r>
          </w:p>
        </w:tc>
        <w:tc>
          <w:tcPr>
            <w:tcW w:type="dxa" w:w="5640"/>
            <w:shd w:fill="1F4E5F" w:val="clear"/>
            <w:tcMar>
              <w:top w:type="dxa" w:w="90"/>
              <w:left w:type="dxa" w:w="110"/>
              <w:bottom w:type="dxa" w:w="90"/>
              <w:right w:type="dxa" w:w="110"/>
            </w:tcMar>
          </w:tcPr>
          <w:p>
            <w:r>
              <w:rPr>
                <w:b/>
                <w:bCs/>
                <w:i w:val="false"/>
                <w:iCs w:val="false"/>
                <w:color w:val="FFFFFF"/>
                <w:sz w:val="18"/>
                <w:szCs w:val="18"/>
              </w:rPr>
              <w:t xml:space="preserve">Purpose in This Codebase</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react</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^19.2.8</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MIT</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Core UI library the frontend is built on.</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react-dom</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^19.2.8</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MIT</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Renders React components to the browser DOM.</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d3</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^7.9.0</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ISC</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Powers the dependency-flow graph visualization — node/edge layout and interaction.</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recharts</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^3.10.1</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MIT</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Chart library used for the debt-trend sparklines and other dashboard charts.</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lucide-react</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^1.40.0</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ISC</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Icon set used throughout the dashboard interface.</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react-markdown</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^10.1.0</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MIT</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Renders AI-generated narrative and recommendation text (written in Markdown) as formatted content in the UI.</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remark-gfm</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^4.0.1</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MIT</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GitHub-flavored Markdown extension for react-markdown — adds support for tables and other GFM syntax in rendered AI output.</w:t>
            </w:r>
          </w:p>
        </w:tc>
      </w:tr>
    </w:tbl>
    <w:p>
      <w:pPr>
        <w:pStyle w:val="Heading3"/>
        <w:spacing w:after="100" w:before="200"/>
      </w:pPr>
      <w:r>
        <w:rPr>
          <w:b/>
          <w:bCs/>
          <w:color w:val="333333"/>
          <w:sz w:val="22"/>
          <w:szCs w:val="22"/>
        </w:rPr>
        <w:t xml:space="preserve">Development dependencies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750"/>
        <w:gridCol w:w="1100"/>
        <w:gridCol w:w="1350"/>
        <w:gridCol w:w="5640"/>
      </w:tblGrid>
      <w:tr>
        <w:trPr>
          <w:cantSplit/>
          <w:tblHeader/>
        </w:trPr>
        <w:tc>
          <w:tcPr>
            <w:tcW w:type="dxa" w:w="1750"/>
            <w:shd w:fill="1F4E5F" w:val="clear"/>
            <w:tcMar>
              <w:top w:type="dxa" w:w="90"/>
              <w:left w:type="dxa" w:w="110"/>
              <w:bottom w:type="dxa" w:w="90"/>
              <w:right w:type="dxa" w:w="110"/>
            </w:tcMar>
          </w:tcPr>
          <w:p>
            <w:r>
              <w:rPr>
                <w:b/>
                <w:bCs/>
                <w:i w:val="false"/>
                <w:iCs w:val="false"/>
                <w:color w:val="FFFFFF"/>
                <w:sz w:val="18"/>
                <w:szCs w:val="18"/>
              </w:rPr>
              <w:t xml:space="preserve">Library</w:t>
            </w:r>
          </w:p>
        </w:tc>
        <w:tc>
          <w:tcPr>
            <w:tcW w:type="dxa" w:w="1100"/>
            <w:shd w:fill="1F4E5F" w:val="clear"/>
            <w:tcMar>
              <w:top w:type="dxa" w:w="90"/>
              <w:left w:type="dxa" w:w="110"/>
              <w:bottom w:type="dxa" w:w="90"/>
              <w:right w:type="dxa" w:w="110"/>
            </w:tcMar>
          </w:tcPr>
          <w:p>
            <w:r>
              <w:rPr>
                <w:b/>
                <w:bCs/>
                <w:i w:val="false"/>
                <w:iCs w:val="false"/>
                <w:color w:val="FFFFFF"/>
                <w:sz w:val="18"/>
                <w:szCs w:val="18"/>
              </w:rPr>
              <w:t xml:space="preserve">Version</w:t>
            </w:r>
          </w:p>
        </w:tc>
        <w:tc>
          <w:tcPr>
            <w:tcW w:type="dxa" w:w="1350"/>
            <w:shd w:fill="1F4E5F" w:val="clear"/>
            <w:tcMar>
              <w:top w:type="dxa" w:w="90"/>
              <w:left w:type="dxa" w:w="110"/>
              <w:bottom w:type="dxa" w:w="90"/>
              <w:right w:type="dxa" w:w="110"/>
            </w:tcMar>
          </w:tcPr>
          <w:p>
            <w:r>
              <w:rPr>
                <w:b/>
                <w:bCs/>
                <w:i w:val="false"/>
                <w:iCs w:val="false"/>
                <w:color w:val="FFFFFF"/>
                <w:sz w:val="18"/>
                <w:szCs w:val="18"/>
              </w:rPr>
              <w:t xml:space="preserve">License</w:t>
            </w:r>
          </w:p>
        </w:tc>
        <w:tc>
          <w:tcPr>
            <w:tcW w:type="dxa" w:w="5640"/>
            <w:shd w:fill="1F4E5F" w:val="clear"/>
            <w:tcMar>
              <w:top w:type="dxa" w:w="90"/>
              <w:left w:type="dxa" w:w="110"/>
              <w:bottom w:type="dxa" w:w="90"/>
              <w:right w:type="dxa" w:w="110"/>
            </w:tcMar>
          </w:tcPr>
          <w:p>
            <w:r>
              <w:rPr>
                <w:b/>
                <w:bCs/>
                <w:i w:val="false"/>
                <w:iCs w:val="false"/>
                <w:color w:val="FFFFFF"/>
                <w:sz w:val="18"/>
                <w:szCs w:val="18"/>
              </w:rPr>
              <w:t xml:space="preserve">Purpose in This Codebase</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vite</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^8.2.2</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MIT</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Development server and production build tool for the frontend.</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@vitejs/plugin-react</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^6.1.0</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MIT</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Vite plugin providing React fast-refresh and JSX support.</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oxlint</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^1.79.0</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MIT</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Linter run against the frontend source as part of the build/verification process.</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@types/react</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^19.2.18</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MIT</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TypeScript type definitions for React, used for editor tooling and type-checking.</w:t>
            </w:r>
          </w:p>
        </w:tc>
      </w:tr>
      <w:tr>
        <w:trPr>
          <w:cantSplit/>
        </w:trPr>
        <w:tc>
          <w:tcPr>
            <w:tcW w:type="dxa" w:w="1750"/>
            <w:tcMar>
              <w:top w:type="dxa" w:w="90"/>
              <w:left w:type="dxa" w:w="110"/>
              <w:bottom w:type="dxa" w:w="90"/>
              <w:right w:type="dxa" w:w="110"/>
            </w:tcMar>
          </w:tcPr>
          <w:p>
            <w:r>
              <w:rPr>
                <w:rFonts w:ascii="Consolas" w:cs="Consolas" w:eastAsia="Consolas" w:hAnsi="Consolas"/>
                <w:b w:val="false"/>
                <w:bCs w:val="false"/>
                <w:i w:val="false"/>
                <w:iCs w:val="false"/>
                <w:color w:val="1A1A1A"/>
                <w:sz w:val="18"/>
                <w:szCs w:val="18"/>
              </w:rPr>
              <w:t xml:space="preserve">@types/react-dom</w:t>
            </w:r>
          </w:p>
        </w:tc>
        <w:tc>
          <w:tcPr>
            <w:tcW w:type="dxa" w:w="1100"/>
            <w:tcMar>
              <w:top w:type="dxa" w:w="90"/>
              <w:left w:type="dxa" w:w="110"/>
              <w:bottom w:type="dxa" w:w="90"/>
              <w:right w:type="dxa" w:w="110"/>
            </w:tcMar>
          </w:tcPr>
          <w:p>
            <w:r>
              <w:rPr>
                <w:b w:val="false"/>
                <w:bCs w:val="false"/>
                <w:i w:val="false"/>
                <w:iCs w:val="false"/>
                <w:color w:val="1A1A1A"/>
                <w:sz w:val="18"/>
                <w:szCs w:val="18"/>
              </w:rPr>
              <w:t xml:space="preserve">^19.2.4</w:t>
            </w:r>
          </w:p>
        </w:tc>
        <w:tc>
          <w:tcPr>
            <w:tcW w:type="dxa" w:w="1350"/>
            <w:tcMar>
              <w:top w:type="dxa" w:w="90"/>
              <w:left w:type="dxa" w:w="110"/>
              <w:bottom w:type="dxa" w:w="90"/>
              <w:right w:type="dxa" w:w="110"/>
            </w:tcMar>
          </w:tcPr>
          <w:p>
            <w:r>
              <w:rPr>
                <w:b w:val="false"/>
                <w:bCs w:val="false"/>
                <w:i w:val="false"/>
                <w:iCs w:val="false"/>
                <w:color w:val="1A1A1A"/>
                <w:sz w:val="18"/>
                <w:szCs w:val="18"/>
              </w:rPr>
              <w:t xml:space="preserve">MIT</w:t>
            </w:r>
          </w:p>
        </w:tc>
        <w:tc>
          <w:tcPr>
            <w:tcW w:type="dxa" w:w="5640"/>
            <w:tcMar>
              <w:top w:type="dxa" w:w="90"/>
              <w:left w:type="dxa" w:w="110"/>
              <w:bottom w:type="dxa" w:w="90"/>
              <w:right w:type="dxa" w:w="110"/>
            </w:tcMar>
          </w:tcPr>
          <w:p>
            <w:r>
              <w:rPr>
                <w:b w:val="false"/>
                <w:bCs w:val="false"/>
                <w:i w:val="false"/>
                <w:iCs w:val="false"/>
                <w:color w:val="1A1A1A"/>
                <w:sz w:val="18"/>
                <w:szCs w:val="18"/>
              </w:rPr>
              <w:t xml:space="preserve">TypeScript type definitions for react-dom.</w:t>
            </w:r>
          </w:p>
        </w:tc>
      </w:tr>
    </w:tbl>
    <w:p>
      <w:pPr>
        <w:pStyle w:val="Heading1"/>
        <w:pBdr>
          <w:bottom w:val="single" w:color="CCCCCC" w:sz="4" w:space="4"/>
        </w:pBdr>
        <w:spacing w:after="160" w:before="360"/>
      </w:pPr>
      <w:r>
        <w:rPr>
          <w:b/>
          <w:bCs/>
          <w:color w:val="1F4E5F"/>
          <w:sz w:val="30"/>
          <w:szCs w:val="30"/>
        </w:rPr>
        <w:t xml:space="preserve">6. Maintenance and License Review</w:t>
      </w:r>
    </w:p>
    <w:p>
      <w:pPr>
        <w:spacing w:after="180" w:line="276"/>
        <w:jc w:val="left"/>
      </w:pPr>
      <w:r>
        <w:rPr>
          <w:sz w:val="21"/>
          <w:szCs w:val="21"/>
        </w:rPr>
        <w:t xml:space="preserve">This inventory should be regenerated whenever a dependency manifest changes — a new package added, a version constraint updated, or a package removed — so it continues to reflect what the running platform actually depends on.</w:t>
      </w:r>
    </w:p>
    <w:p>
      <w:pPr>
        <w:spacing w:after="180" w:line="276"/>
        <w:jc w:val="left"/>
      </w:pPr>
      <w:r>
        <w:rPr>
          <w:sz w:val="21"/>
          <w:szCs w:val="21"/>
        </w:rPr>
        <w:t xml:space="preserve">License identifiers above reflect each project's commonly published license at the time of writing. Before relying on this document for legal or compliance purposes, each license should be independently confirmed against the corresponding package's published license file, since a project can change its license between versions.</w:t>
      </w:r>
    </w:p>
    <w:p>
      <w:pPr>
        <w:pBdr>
          <w:left w:val="single" w:color="2E7D6B" w:sz="18" w:space="8"/>
        </w:pBdr>
        <w:shd w:fill="F2F7F6" w:val="clear"/>
        <w:spacing w:after="220" w:before="100" w:line="276"/>
        <w:ind w:left="360"/>
      </w:pPr>
      <w:r>
        <w:rPr>
          <w:sz w:val="21"/>
          <w:szCs w:val="21"/>
        </w:rPr>
        <w:t xml:space="preserve">psycopg2-binary is distributed under the LGPL with a linking exception that permits use in proprietary applications; organizations with strict open-source license policies should still confirm this against their own compliance requirements before deployment.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jc w:val="center"/>
    </w:pPr>
    <w:r>
      <w:rPr>
        <w:color w:val="5A6B6B"/>
        <w:sz w:val="16"/>
        <w:szCs w:val="16"/>
      </w:rPr>
      <w:t xml:space="preserve">Tech Debt Radar — Third-Party Library Inventory  |  Page </w:t>
    </w:r>
    <w:r>
      <w:rPr>
        <w:color w:val="5A6B6B"/>
        <w:sz w:val="16"/>
        <w:szCs w:val="16"/>
      </w:rPr>
      <w:fldChar w:fldCharType="begin"/>
      <w:instrText xml:space="preserve">PAGE</w:instrText>
      <w:fldChar w:fldCharType="separate"/>
      <w:fldChar w:fldCharType="end"/>
    </w:r>
    <w:r>
      <w:rPr>
        <w:color w:val="5A6B6B"/>
        <w:sz w:val="16"/>
        <w:szCs w:val="16"/>
      </w:rPr>
      <w:t xml:space="preserve"> of </w:t>
    </w:r>
    <w:r>
      <w:rPr>
        <w:color w:val="5A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2026-09-14T13:11:34.905Z</dcterms:created>
  <dcterms:modified xsi:type="dcterms:W3CDTF">2026-09-14T13:11:34.906Z</dcterms:modified>
</cp:coreProperties>
</file>

<file path=docProps/custom.xml><?xml version="1.0" encoding="utf-8"?>
<Properties xmlns="http://schemas.openxmlformats.org/officeDocument/2006/custom-properties" xmlns:vt="http://schemas.openxmlformats.org/officeDocument/2006/docPropsVTypes"/>
</file>