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40"/>
        <w:jc w:val="center"/>
      </w:pPr>
      <w:r>
        <w:rPr>
          <w:b/>
          <w:bCs/>
          <w:color w:val="2E7D6B"/>
          <w:spacing w:val="20"/>
          <w:sz w:val="24"/>
          <w:szCs w:val="24"/>
        </w:rPr>
        <w:t xml:space="preserve">TECH DEBT RADAR</w:t>
      </w:r>
    </w:p>
    <w:p>
      <w:pPr>
        <w:spacing w:after="200"/>
        <w:jc w:val="center"/>
      </w:pPr>
      <w:r>
        <w:rPr>
          <w:b/>
          <w:bCs/>
          <w:color w:val="1F4E5F"/>
          <w:sz w:val="56"/>
          <w:szCs w:val="56"/>
        </w:rPr>
        <w:t xml:space="preserve">Technical Architecture</w:t>
      </w:r>
    </w:p>
    <w:p>
      <w:pPr>
        <w:spacing w:after="800"/>
        <w:jc w:val="center"/>
      </w:pPr>
      <w:r>
        <w:rPr>
          <w:i/>
          <w:iCs/>
          <w:color w:val="5A6B6B"/>
          <w:sz w:val="28"/>
          <w:szCs w:val="28"/>
        </w:rPr>
        <w:t xml:space="preserve">Self-Hosted Technical Debt Analysis Platform</w:t>
      </w:r>
    </w:p>
    <w:p>
      <w:pPr>
        <w:pBdr>
          <w:top w:val="single" w:color="CCCCCC" w:sz="6" w:space="12"/>
        </w:pBdr>
        <w:spacing w:before="400"/>
        <w:jc w:val="center"/>
      </w:pPr>
      <w:r>
        <w:rPr>
          <w:color w:val="5A6B6B"/>
          <w:sz w:val="20"/>
          <w:szCs w:val="20"/>
        </w:rPr>
        <w:t xml:space="preserve">Architecture, data model, and capability reference</w:t>
      </w:r>
    </w:p>
    <w:p>
      <w:r>
        <w:br w:type="page"/>
      </w:r>
    </w:p>
    <w:p>
      <w:pPr>
        <w:pStyle w:val="Heading1"/>
        <w:spacing w:after="240"/>
      </w:pPr>
      <w:r>
        <w:t xml:space="preserve">Contents</w:t>
      </w:r>
    </w:p>
    <w:p>
      <w:pPr>
        <w:tabs>
          <w:tab w:val="right" w:pos="9360" w:leader="dot"/>
        </w:tabs>
        <w:spacing w:after="140"/>
      </w:pPr>
      <w:r>
        <w:rPr>
          <w:sz w:val="22"/>
          <w:szCs w:val="22"/>
        </w:rPr>
        <w:t xml:space="preserve">1. Overview</w:t>
      </w:r>
      <w:r>
        <w:ptab w:alignment="right" w:relativeTo="margin" w:leader="dot"/>
      </w:r>
      <w:r>
        <w:rPr>
          <w:sz w:val="22"/>
          <w:szCs w:val="22"/>
        </w:rPr>
        <w:t xml:space="preserve">3</w:t>
      </w:r>
    </w:p>
    <w:p>
      <w:pPr>
        <w:tabs>
          <w:tab w:val="right" w:pos="9360" w:leader="dot"/>
        </w:tabs>
        <w:spacing w:after="140"/>
      </w:pPr>
      <w:r>
        <w:rPr>
          <w:sz w:val="22"/>
          <w:szCs w:val="22"/>
        </w:rPr>
        <w:t xml:space="preserve">2. System Architecture</w:t>
      </w:r>
      <w:r>
        <w:ptab w:alignment="right" w:relativeTo="margin" w:leader="dot"/>
      </w:r>
      <w:r>
        <w:rPr>
          <w:sz w:val="22"/>
          <w:szCs w:val="22"/>
        </w:rPr>
        <w:t xml:space="preserve">3</w:t>
      </w:r>
    </w:p>
    <w:p>
      <w:pPr>
        <w:tabs>
          <w:tab w:val="right" w:pos="9360" w:leader="dot"/>
        </w:tabs>
        <w:spacing w:after="140"/>
      </w:pPr>
      <w:r>
        <w:rPr>
          <w:sz w:val="22"/>
          <w:szCs w:val="22"/>
        </w:rPr>
        <w:t xml:space="preserve">3. Multi-Language Analysis Pipeline</w:t>
      </w:r>
      <w:r>
        <w:ptab w:alignment="right" w:relativeTo="margin" w:leader="dot"/>
      </w:r>
      <w:r>
        <w:rPr>
          <w:sz w:val="22"/>
          <w:szCs w:val="22"/>
        </w:rPr>
        <w:t xml:space="preserve">3</w:t>
      </w:r>
    </w:p>
    <w:p>
      <w:pPr>
        <w:tabs>
          <w:tab w:val="right" w:pos="9360" w:leader="dot"/>
        </w:tabs>
        <w:spacing w:after="140"/>
      </w:pPr>
      <w:r>
        <w:rPr>
          <w:sz w:val="22"/>
          <w:szCs w:val="22"/>
        </w:rPr>
        <w:t xml:space="preserve">4. Debt Scoring Methodology</w:t>
      </w:r>
      <w:r>
        <w:ptab w:alignment="right" w:relativeTo="margin" w:leader="dot"/>
      </w:r>
      <w:r>
        <w:rPr>
          <w:sz w:val="22"/>
          <w:szCs w:val="22"/>
        </w:rPr>
        <w:t xml:space="preserve">3</w:t>
      </w:r>
    </w:p>
    <w:p>
      <w:pPr>
        <w:tabs>
          <w:tab w:val="right" w:pos="9360" w:leader="dot"/>
        </w:tabs>
        <w:spacing w:after="140"/>
      </w:pPr>
      <w:r>
        <w:rPr>
          <w:sz w:val="22"/>
          <w:szCs w:val="22"/>
        </w:rPr>
        <w:t xml:space="preserve">5. Dependency Graph, Coupling Detection, and Blast-Radius Queries</w:t>
      </w:r>
      <w:r>
        <w:ptab w:alignment="right" w:relativeTo="margin" w:leader="dot"/>
      </w:r>
      <w:r>
        <w:rPr>
          <w:sz w:val="22"/>
          <w:szCs w:val="22"/>
        </w:rPr>
        <w:t xml:space="preserve">4</w:t>
      </w:r>
    </w:p>
    <w:p>
      <w:pPr>
        <w:tabs>
          <w:tab w:val="right" w:pos="9360" w:leader="dot"/>
        </w:tabs>
        <w:spacing w:after="140"/>
      </w:pPr>
      <w:r>
        <w:rPr>
          <w:sz w:val="22"/>
          <w:szCs w:val="22"/>
        </w:rPr>
        <w:t xml:space="preserve">6. Pull-Request History Mining</w:t>
      </w:r>
      <w:r>
        <w:ptab w:alignment="right" w:relativeTo="margin" w:leader="dot"/>
      </w:r>
      <w:r>
        <w:rPr>
          <w:sz w:val="22"/>
          <w:szCs w:val="22"/>
        </w:rPr>
        <w:t xml:space="preserve">5</w:t>
      </w:r>
    </w:p>
    <w:p>
      <w:pPr>
        <w:tabs>
          <w:tab w:val="right" w:pos="9360" w:leader="dot"/>
        </w:tabs>
        <w:spacing w:after="140"/>
      </w:pPr>
      <w:r>
        <w:rPr>
          <w:sz w:val="22"/>
          <w:szCs w:val="22"/>
        </w:rPr>
        <w:t xml:space="preserve">7. AI-Authored Module and Architecture Narratives</w:t>
      </w:r>
      <w:r>
        <w:ptab w:alignment="right" w:relativeTo="margin" w:leader="dot"/>
      </w:r>
      <w:r>
        <w:rPr>
          <w:sz w:val="22"/>
          <w:szCs w:val="22"/>
        </w:rPr>
        <w:t xml:space="preserve">5</w:t>
      </w:r>
    </w:p>
    <w:p>
      <w:pPr>
        <w:tabs>
          <w:tab w:val="right" w:pos="9360" w:leader="dot"/>
        </w:tabs>
        <w:spacing w:after="140"/>
      </w:pPr>
      <w:r>
        <w:rPr>
          <w:sz w:val="22"/>
          <w:szCs w:val="22"/>
        </w:rPr>
        <w:t xml:space="preserve">8. Trend History Across Analysis Runs</w:t>
      </w:r>
      <w:r>
        <w:ptab w:alignment="right" w:relativeTo="margin" w:leader="dot"/>
      </w:r>
      <w:r>
        <w:rPr>
          <w:sz w:val="22"/>
          <w:szCs w:val="22"/>
        </w:rPr>
        <w:t xml:space="preserve">6</w:t>
      </w:r>
    </w:p>
    <w:p>
      <w:pPr>
        <w:tabs>
          <w:tab w:val="right" w:pos="9360" w:leader="dot"/>
        </w:tabs>
        <w:spacing w:after="140"/>
      </w:pPr>
      <w:r>
        <w:rPr>
          <w:sz w:val="22"/>
          <w:szCs w:val="22"/>
        </w:rPr>
        <w:t xml:space="preserve">9. MCP Server Integration</w:t>
      </w:r>
      <w:r>
        <w:ptab w:alignment="right" w:relativeTo="margin" w:leader="dot"/>
      </w:r>
      <w:r>
        <w:rPr>
          <w:sz w:val="22"/>
          <w:szCs w:val="22"/>
        </w:rPr>
        <w:t xml:space="preserve">6</w:t>
      </w:r>
    </w:p>
    <w:p>
      <w:pPr>
        <w:tabs>
          <w:tab w:val="right" w:pos="9360" w:leader="dot"/>
        </w:tabs>
        <w:spacing w:after="140"/>
      </w:pPr>
      <w:r>
        <w:rPr>
          <w:sz w:val="22"/>
          <w:szCs w:val="22"/>
        </w:rPr>
        <w:t xml:space="preserve">10. API Reference</w:t>
      </w:r>
      <w:r>
        <w:ptab w:alignment="right" w:relativeTo="margin" w:leader="dot"/>
      </w:r>
      <w:r>
        <w:rPr>
          <w:sz w:val="22"/>
          <w:szCs w:val="22"/>
        </w:rPr>
        <w:t xml:space="preserve">7</w:t>
      </w:r>
    </w:p>
    <w:p>
      <w:pPr>
        <w:tabs>
          <w:tab w:val="right" w:pos="9360" w:leader="dot"/>
        </w:tabs>
        <w:spacing w:after="140"/>
      </w:pPr>
      <w:r>
        <w:rPr>
          <w:sz w:val="22"/>
          <w:szCs w:val="22"/>
        </w:rPr>
        <w:t xml:space="preserve">11. Data Model Summary</w:t>
      </w:r>
      <w:r>
        <w:ptab w:alignment="right" w:relativeTo="margin" w:leader="dot"/>
      </w:r>
      <w:r>
        <w:rPr>
          <w:sz w:val="22"/>
          <w:szCs w:val="22"/>
        </w:rPr>
        <w:t xml:space="preserve">7</w:t>
      </w:r>
    </w:p>
    <w:p>
      <w:pPr>
        <w:tabs>
          <w:tab w:val="right" w:pos="9360" w:leader="dot"/>
        </w:tabs>
        <w:spacing w:after="140"/>
      </w:pPr>
      <w:r>
        <w:rPr>
          <w:sz w:val="22"/>
          <w:szCs w:val="22"/>
        </w:rPr>
        <w:t xml:space="preserve">12. Current Limitations</w:t>
      </w:r>
      <w:r>
        <w:ptab w:alignment="right" w:relativeTo="margin" w:leader="dot"/>
      </w:r>
      <w:r>
        <w:rPr>
          <w:sz w:val="22"/>
          <w:szCs w:val="22"/>
        </w:rPr>
        <w:t xml:space="preserve">8</w:t>
      </w:r>
    </w:p>
    <w:p>
      <w:pPr>
        <w:tabs>
          <w:tab w:val="right" w:pos="9360" w:leader="dot"/>
        </w:tabs>
        <w:spacing w:after="140"/>
      </w:pPr>
      <w:r>
        <w:rPr>
          <w:sz w:val="22"/>
          <w:szCs w:val="22"/>
        </w:rPr>
        <w:t xml:space="preserve">13. Security and Data Handling</w:t>
      </w:r>
      <w:r>
        <w:ptab w:alignment="right" w:relativeTo="margin" w:leader="dot"/>
      </w:r>
      <w:r>
        <w:rPr>
          <w:sz w:val="22"/>
          <w:szCs w:val="22"/>
        </w:rPr>
        <w:t xml:space="preserve">8</w:t>
      </w:r>
    </w:p>
    <w:p>
      <w:r>
        <w:br w:type="page"/>
      </w:r>
    </w:p>
    <w:p>
      <w:pPr>
        <w:pStyle w:val="Heading1"/>
        <w:pBdr>
          <w:bottom w:val="single" w:color="CCCCCC" w:sz="4" w:space="4"/>
        </w:pBdr>
        <w:spacing w:after="160" w:before="360"/>
      </w:pPr>
      <w:r>
        <w:rPr>
          <w:b/>
          <w:bCs/>
          <w:color w:val="1F4E5F"/>
          <w:sz w:val="30"/>
          <w:szCs w:val="30"/>
        </w:rPr>
        <w:t xml:space="preserve">1. Overview</w:t>
      </w:r>
    </w:p>
    <w:p>
      <w:pPr>
        <w:spacing w:after="180" w:line="276"/>
        <w:jc w:val="left"/>
      </w:pPr>
      <w:r>
        <w:rPr>
          <w:sz w:val="21"/>
          <w:szCs w:val="21"/>
        </w:rPr>
        <w:t xml:space="preserve">Tech Debt Radar is a self-hosted platform for analyzing, visualizing, and tracking technical debt across multi-language codebases and their associated databases. It combines static code analysis, database schema inspection, dependency graph construction, and AI-assisted reasoning to give engineering teams a continuously updated, evidence-grounded view of where debt concentrates, how it changes over time, and what would be affected by modifying any given file or table.</w:t>
      </w:r>
    </w:p>
    <w:p>
      <w:pPr>
        <w:spacing w:after="180" w:line="276"/>
        <w:jc w:val="left"/>
      </w:pPr>
      <w:r>
        <w:rPr>
          <w:sz w:val="21"/>
          <w:szCs w:val="21"/>
        </w:rPr>
        <w:t xml:space="preserve">The platform runs entirely on infrastructure the adopting organization controls. Outbound network calls are limited to those an operator explicitly enables: calls to a configured AI provider (Anthropic, Google Gemini, or a locally hosted Ollama instance) used for recommendations, module narratives, and pull-request insight extraction; and, only when pull-request history mining is turned on for a given repository, read-only calls to the GitHub or GitLab public REST API.</w:t>
      </w:r>
    </w:p>
    <w:p>
      <w:pPr>
        <w:pStyle w:val="Heading1"/>
        <w:pBdr>
          <w:bottom w:val="single" w:color="CCCCCC" w:sz="4" w:space="4"/>
        </w:pBdr>
        <w:spacing w:after="160" w:before="360"/>
      </w:pPr>
      <w:r>
        <w:rPr>
          <w:b/>
          <w:bCs/>
          <w:color w:val="1F4E5F"/>
          <w:sz w:val="30"/>
          <w:szCs w:val="30"/>
        </w:rPr>
        <w:t xml:space="preserve">2. System Architecture</w:t>
      </w:r>
    </w:p>
    <w:p>
      <w:pPr>
        <w:spacing w:after="180" w:line="276"/>
        <w:jc w:val="left"/>
      </w:pPr>
      <w:r>
        <w:rPr>
          <w:sz w:val="21"/>
          <w:szCs w:val="21"/>
        </w:rPr>
        <w:t xml:space="preserve">The backend is a Python application built on FastAPI. The frontend is a React single-page application built with Vite. Persistent state is held in two SQLite databases:</w:t>
      </w:r>
    </w:p>
    <w:p>
      <w:pPr>
        <w:pStyle w:val="ListParagraph"/>
        <w:numPr>
          <w:ilvl w:val="0"/>
          <w:numId w:val="2"/>
        </w:numPr>
        <w:spacing w:after="120" w:line="276"/>
      </w:pPr>
      <w:r>
        <w:rPr>
          <w:b/>
          <w:bCs/>
          <w:sz w:val="21"/>
          <w:szCs w:val="21"/>
        </w:rPr>
        <w:t xml:space="preserve">debt_radar.db</w:t>
      </w:r>
      <w:r>
        <w:rPr>
          <w:sz w:val="21"/>
          <w:szCs w:val="21"/>
        </w:rPr>
        <w:t xml:space="preserve"> — a snapshot of the current codebase and database state, rebuilt on every analysis run.</w:t>
      </w:r>
    </w:p>
    <w:p>
      <w:pPr>
        <w:pStyle w:val="ListParagraph"/>
        <w:numPr>
          <w:ilvl w:val="0"/>
          <w:numId w:val="2"/>
        </w:numPr>
        <w:spacing w:after="120" w:line="276"/>
      </w:pPr>
      <w:r>
        <w:rPr>
          <w:b/>
          <w:bCs/>
          <w:sz w:val="21"/>
          <w:szCs w:val="21"/>
        </w:rPr>
        <w:t xml:space="preserve">app.db</w:t>
      </w:r>
      <w:r>
        <w:rPr>
          <w:sz w:val="21"/>
          <w:szCs w:val="21"/>
        </w:rPr>
        <w:t xml:space="preserve"> — the platform's persistent store: configuration, analysis-run history, pull-request-mined insights, module narratives, and pending annotations. This database is never dropped by a re-analysis.</w:t>
      </w:r>
    </w:p>
    <w:p>
      <w:pPr>
        <w:pStyle w:val="Heading1"/>
        <w:pBdr>
          <w:bottom w:val="single" w:color="CCCCCC" w:sz="4" w:space="4"/>
        </w:pBdr>
        <w:spacing w:after="160" w:before="360"/>
      </w:pPr>
      <w:r>
        <w:rPr>
          <w:b/>
          <w:bCs/>
          <w:color w:val="1F4E5F"/>
          <w:sz w:val="30"/>
          <w:szCs w:val="30"/>
        </w:rPr>
        <w:t xml:space="preserve">3. Multi-Language Analysis Pipeline</w:t>
      </w:r>
    </w:p>
    <w:p>
      <w:pPr>
        <w:spacing w:after="180" w:line="276"/>
        <w:jc w:val="left"/>
      </w:pPr>
      <w:r>
        <w:rPr>
          <w:sz w:val="21"/>
          <w:szCs w:val="21"/>
        </w:rPr>
        <w:t xml:space="preserve">Three language analyzers cover the supported ecosystems: a Python analyzer built on radon and bandit, a .NET analyzer built on Roslyn, and a TypeScript analyzer built on the TypeScript compiler. Each analyzer returns a uniform structure regardless of language: per-file metrics, dependency edges, and a map of relative file path to raw source text.</w:t>
      </w:r>
    </w:p>
    <w:p>
      <w:pPr>
        <w:spacing w:after="180" w:line="276"/>
        <w:jc w:val="left"/>
      </w:pPr>
      <w:r>
        <w:rPr>
          <w:sz w:val="21"/>
          <w:szCs w:val="21"/>
        </w:rPr>
        <w:t xml:space="preserve">A combination stage merges the results of multiple repositories into a single dependency graph, namespacing file identifiers by repository when more than one repository is analyzed in the same run.</w:t>
      </w:r>
    </w:p>
    <w:p>
      <w:pPr>
        <w:spacing w:after="180" w:line="276"/>
        <w:jc w:val="left"/>
      </w:pPr>
      <w:r>
        <w:rPr>
          <w:sz w:val="21"/>
          <w:szCs w:val="21"/>
        </w:rPr>
        <w:t xml:space="preserve">Because every analyzer emits the same raw-source-text structure, several capabilities described later in this document — implicit coupling detection and AI module narrative generation among them — operate identically across Python, .NET, and TypeScript source without any language-specific logic.</w:t>
      </w:r>
    </w:p>
    <w:p>
      <w:pPr>
        <w:pStyle w:val="Heading1"/>
        <w:pBdr>
          <w:bottom w:val="single" w:color="CCCCCC" w:sz="4" w:space="4"/>
        </w:pBdr>
        <w:spacing w:after="160" w:before="360"/>
      </w:pPr>
      <w:r>
        <w:rPr>
          <w:b/>
          <w:bCs/>
          <w:color w:val="1F4E5F"/>
          <w:sz w:val="30"/>
          <w:szCs w:val="30"/>
        </w:rPr>
        <w:t xml:space="preserve">4. Debt Scoring Methodology</w:t>
      </w:r>
    </w:p>
    <w:p>
      <w:pPr>
        <w:spacing w:after="180" w:line="276"/>
        <w:jc w:val="left"/>
      </w:pPr>
      <w:r>
        <w:rPr>
          <w:sz w:val="21"/>
          <w:szCs w:val="21"/>
        </w:rPr>
        <w:t xml:space="preserve">Every analyzed file and database table receives a single debt_score between 0 (healthy) and 1 (high debt).</w:t>
      </w:r>
    </w:p>
    <w:p>
      <w:pPr>
        <w:pStyle w:val="Heading3"/>
        <w:spacing w:after="100" w:before="200"/>
      </w:pPr>
      <w:r>
        <w:rPr>
          <w:b/>
          <w:bCs/>
          <w:color w:val="333333"/>
          <w:sz w:val="22"/>
          <w:szCs w:val="22"/>
        </w:rPr>
        <w:t xml:space="preserve">Code files</w:t>
      </w:r>
    </w:p>
    <w:p>
      <w:pPr>
        <w:spacing w:after="180" w:line="276"/>
        <w:jc w:val="left"/>
      </w:pPr>
      <w:r>
        <w:rPr>
          <w:sz w:val="21"/>
          <w:szCs w:val="21"/>
        </w:rPr>
        <w:t xml:space="preserve">35% complexity, 20% churn (change frequency over the trailing two years), 25% security (static-analysis findings), and 20% design (maintainability index, function length, nesting depth, parameter count, duplication, public surface area, and conditional complexity).</w:t>
      </w:r>
    </w:p>
    <w:p>
      <w:pPr>
        <w:pStyle w:val="Heading3"/>
        <w:spacing w:after="100" w:before="200"/>
      </w:pPr>
      <w:r>
        <w:rPr>
          <w:b/>
          <w:bCs/>
          <w:color w:val="333333"/>
          <w:sz w:val="22"/>
          <w:szCs w:val="22"/>
        </w:rPr>
        <w:t xml:space="preserve">Database tables</w:t>
      </w:r>
    </w:p>
    <w:p>
      <w:pPr>
        <w:spacing w:after="180" w:line="276"/>
        <w:jc w:val="left"/>
      </w:pPr>
      <w:r>
        <w:rPr>
          <w:sz w:val="21"/>
          <w:szCs w:val="21"/>
        </w:rPr>
        <w:t xml:space="preserve">30% performance (unindexed foreign keys), 15% size, 30% security (sensitive columns and over-broad grants), and 25% design (missing primary key, unenforced relationships, and table width).</w:t>
      </w:r>
    </w:p>
    <w:p>
      <w:pPr>
        <w:spacing w:after="180" w:line="276"/>
        <w:jc w:val="left"/>
      </w:pPr>
      <w:r>
        <w:rPr>
          <w:sz w:val="21"/>
          <w:szCs w:val="21"/>
        </w:rPr>
        <w:t xml:space="preserve">Every score is broken down in the application interface into its contributing components, so a reviewer can see what is driving a given value rather than reacting to the total in isolation.</w:t>
      </w:r>
    </w:p>
    <w:p>
      <w:pPr>
        <w:pStyle w:val="Heading1"/>
        <w:pBdr>
          <w:bottom w:val="single" w:color="CCCCCC" w:sz="4" w:space="4"/>
        </w:pBdr>
        <w:spacing w:after="160" w:before="360"/>
      </w:pPr>
      <w:r>
        <w:rPr>
          <w:b/>
          <w:bCs/>
          <w:color w:val="1F4E5F"/>
          <w:sz w:val="30"/>
          <w:szCs w:val="30"/>
        </w:rPr>
        <w:t xml:space="preserve">5. Dependency Graph, Coupling Detection, and Blast-Radius Queries</w:t>
      </w:r>
    </w:p>
    <w:p>
      <w:pPr>
        <w:pStyle w:val="Heading2"/>
        <w:spacing w:after="120" w:before="280"/>
      </w:pPr>
      <w:r>
        <w:rPr>
          <w:b/>
          <w:bCs/>
          <w:color w:val="2E7D6B"/>
          <w:sz w:val="24"/>
          <w:szCs w:val="24"/>
        </w:rPr>
        <w:t xml:space="preserve">5.1 Dependency graph</w:t>
      </w:r>
    </w:p>
    <w:p>
      <w:pPr>
        <w:spacing w:after="180" w:line="276"/>
        <w:jc w:val="left"/>
      </w:pPr>
      <w:r>
        <w:rPr>
          <w:sz w:val="21"/>
          <w:szCs w:val="21"/>
        </w:rPr>
        <w:t xml:space="preserve">Graph nodes represent files and database tables; edges represent imports, foreign-key relationships, and implicit runtime coupling (described below). The graph is the shared foundation for the dependency-flow visualization, blast-radius queries, and trend history — every edge type is treated uniformly by every consumer of the graph.</w:t>
      </w:r>
    </w:p>
    <w:p>
      <w:pPr>
        <w:pStyle w:val="Heading2"/>
        <w:spacing w:after="120" w:before="280"/>
      </w:pPr>
      <w:r>
        <w:rPr>
          <w:b/>
          <w:bCs/>
          <w:color w:val="2E7D6B"/>
          <w:sz w:val="24"/>
          <w:szCs w:val="24"/>
        </w:rPr>
        <w:t xml:space="preserve">5.2 Implicit runtime-coupling detection</w:t>
      </w:r>
    </w:p>
    <w:p>
      <w:pPr>
        <w:spacing w:after="180" w:line="276"/>
        <w:jc w:val="left"/>
      </w:pPr>
      <w:r>
        <w:rPr>
          <w:sz w:val="21"/>
          <w:szCs w:val="21"/>
        </w:rPr>
        <w:t xml:space="preserve">Import graphs and foreign keys capture only compile-time relationships. Two services that communicate through a shared Redis key, Kafka topic, or message queue — with no import relationship between them — are invisible to conventional static analysis. That invisibility is precisely what turns a "this file looks unused, delete it" judgment into a production incident.</w:t>
      </w:r>
    </w:p>
    <w:p>
      <w:pPr>
        <w:spacing w:after="180" w:line="276"/>
        <w:jc w:val="left"/>
      </w:pPr>
      <w:r>
        <w:rPr>
          <w:sz w:val="21"/>
          <w:szCs w:val="21"/>
        </w:rPr>
        <w:t xml:space="preserve">The coupling detector runs three passes over each file's source text:</w:t>
      </w:r>
    </w:p>
    <w:p>
      <w:pPr>
        <w:pStyle w:val="ListParagraph"/>
        <w:numPr>
          <w:ilvl w:val="0"/>
          <w:numId w:val="2"/>
        </w:numPr>
        <w:spacing w:after="120" w:line="276"/>
      </w:pPr>
      <w:r>
        <w:rPr>
          <w:b/>
          <w:bCs/>
          <w:sz w:val="21"/>
          <w:szCs w:val="21"/>
        </w:rPr>
        <w:t xml:space="preserve">Library-signature matching</w:t>
      </w:r>
      <w:r>
        <w:rPr>
          <w:sz w:val="21"/>
          <w:szCs w:val="21"/>
        </w:rPr>
        <w:t xml:space="preserve"> against known messaging and caching client usage — Redis, Kafka, RabbitMQ/AMQP, SQS, SNS, Celery, BullMQ, and Azure Service Bus — which identifies a file's messaging surface.</w:t>
      </w:r>
    </w:p>
    <w:p>
      <w:pPr>
        <w:pStyle w:val="ListParagraph"/>
        <w:numPr>
          <w:ilvl w:val="0"/>
          <w:numId w:val="2"/>
        </w:numPr>
        <w:spacing w:after="120" w:line="276"/>
      </w:pPr>
      <w:r>
        <w:rPr>
          <w:b/>
          <w:bCs/>
          <w:sz w:val="21"/>
          <w:szCs w:val="21"/>
        </w:rPr>
        <w:t xml:space="preserve">Literal key extraction</w:t>
      </w:r>
      <w:r>
        <w:rPr>
          <w:sz w:val="21"/>
          <w:szCs w:val="21"/>
        </w:rPr>
        <w:t xml:space="preserve"> from common call shapes, covering both keyword arguments (for example, </w:t>
      </w:r>
      <w:r>
        <w:rPr>
          <w:rFonts w:ascii="Consolas" w:cs="Consolas" w:eastAsia="Consolas" w:hAnsi="Consolas"/>
          <w:color w:val="8A3B00"/>
          <w:sz w:val="20"/>
          <w:szCs w:val="20"/>
        </w:rPr>
        <w:t xml:space="preserve">channel="orders:created"</w:t>
      </w:r>
      <w:r>
        <w:rPr>
          <w:sz w:val="21"/>
          <w:szCs w:val="21"/>
        </w:rPr>
        <w:t xml:space="preserve">) and positional arguments (for example, </w:t>
      </w:r>
      <w:r>
        <w:rPr>
          <w:rFonts w:ascii="Consolas" w:cs="Consolas" w:eastAsia="Consolas" w:hAnsi="Consolas"/>
          <w:color w:val="8A3B00"/>
          <w:sz w:val="20"/>
          <w:szCs w:val="20"/>
        </w:rPr>
        <w:t xml:space="preserve">.publish("orders:created", ...)</w:t>
      </w:r>
      <w:r>
        <w:rPr>
          <w:sz w:val="21"/>
          <w:szCs w:val="21"/>
        </w:rPr>
        <w:t xml:space="preserve">).</w:t>
      </w:r>
    </w:p>
    <w:p>
      <w:pPr>
        <w:pStyle w:val="ListParagraph"/>
        <w:numPr>
          <w:ilvl w:val="0"/>
          <w:numId w:val="2"/>
        </w:numPr>
        <w:spacing w:after="120" w:line="276"/>
      </w:pPr>
      <w:r>
        <w:rPr>
          <w:b/>
          <w:bCs/>
          <w:sz w:val="21"/>
          <w:szCs w:val="21"/>
        </w:rPr>
        <w:t xml:space="preserve">Connection environment-variable matching</w:t>
      </w:r>
      <w:r>
        <w:rPr>
          <w:sz w:val="21"/>
          <w:szCs w:val="21"/>
        </w:rPr>
        <w:t xml:space="preserve"> against well-known variable names (</w:t>
      </w:r>
      <w:r>
        <w:rPr>
          <w:rFonts w:ascii="Consolas" w:cs="Consolas" w:eastAsia="Consolas" w:hAnsi="Consolas"/>
          <w:color w:val="8A3B00"/>
          <w:sz w:val="20"/>
          <w:szCs w:val="20"/>
        </w:rPr>
        <w:t xml:space="preserve">REDIS_URL</w:t>
      </w:r>
      <w:r>
        <w:rPr>
          <w:sz w:val="21"/>
          <w:szCs w:val="21"/>
        </w:rPr>
        <w:t xml:space="preserve">, </w:t>
      </w:r>
      <w:r>
        <w:rPr>
          <w:rFonts w:ascii="Consolas" w:cs="Consolas" w:eastAsia="Consolas" w:hAnsi="Consolas"/>
          <w:color w:val="8A3B00"/>
          <w:sz w:val="20"/>
          <w:szCs w:val="20"/>
        </w:rPr>
        <w:t xml:space="preserve">KAFKA_BROKERS</w:t>
      </w:r>
      <w:r>
        <w:rPr>
          <w:sz w:val="21"/>
          <w:szCs w:val="21"/>
        </w:rPr>
        <w:t xml:space="preserve">, </w:t>
      </w:r>
      <w:r>
        <w:rPr>
          <w:rFonts w:ascii="Consolas" w:cs="Consolas" w:eastAsia="Consolas" w:hAnsi="Consolas"/>
          <w:color w:val="8A3B00"/>
          <w:sz w:val="20"/>
          <w:szCs w:val="20"/>
        </w:rPr>
        <w:t xml:space="preserve">AMQP_URL</w:t>
      </w:r>
      <w:r>
        <w:rPr>
          <w:sz w:val="21"/>
          <w:szCs w:val="21"/>
        </w:rPr>
        <w:t xml:space="preserve">, and similar), which allows two files to be flagged as coupled even when the shared topic or key name lives only in configuration rather than in either file's source.</w:t>
      </w:r>
    </w:p>
    <w:p>
      <w:pPr>
        <w:spacing w:after="180" w:line="276"/>
        <w:jc w:val="left"/>
      </w:pPr>
      <w:r>
        <w:rPr>
          <w:sz w:val="21"/>
          <w:szCs w:val="21"/>
        </w:rPr>
        <w:t xml:space="preserve">Any two files that resolve to the same category and key are connected by a coupling edge, labeled by category. A key shared across more than twenty-five files is treated as a generic name rather than a genuine shared resource and is not emitted as an edge.</w:t>
      </w:r>
    </w:p>
    <w:p>
      <w:pPr>
        <w:pBdr>
          <w:left w:val="single" w:color="2E7D6B" w:sz="18" w:space="8"/>
        </w:pBdr>
        <w:shd w:fill="F2F7F6" w:val="clear"/>
        <w:spacing w:after="220" w:before="100" w:line="276"/>
        <w:ind w:left="360"/>
      </w:pPr>
      <w:r>
        <w:rPr>
          <w:sz w:val="21"/>
          <w:szCs w:val="21"/>
        </w:rPr>
        <w:t xml:space="preserve">Coupling detection is a static heuristic, not dataflow analysis. It cannot detect a coupling built from a key constructed at runtime, or one imported indirectly from a third file, and it can occasionally register a false positive when two files coincidentally use the same literal string for unrelated purposes. Its output should be treated the same way as any other static finding in the platform: a lead worth checking, weighted by how plausible the shared key looks, rather than a certainty.</w:t>
      </w:r>
    </w:p>
    <w:p>
      <w:pPr>
        <w:spacing w:after="180" w:line="276"/>
        <w:jc w:val="left"/>
      </w:pPr>
      <w:r>
        <w:rPr>
          <w:sz w:val="21"/>
          <w:szCs w:val="21"/>
        </w:rPr>
        <w:t xml:space="preserve">Coupling edges are computed during every analysis run and flow through the same dependency-graph, blast-radius, and trend-history paths as import and foreign-key edges.</w:t>
      </w:r>
    </w:p>
    <w:p>
      <w:pPr>
        <w:pStyle w:val="Heading2"/>
        <w:spacing w:after="120" w:before="280"/>
      </w:pPr>
      <w:r>
        <w:rPr>
          <w:b/>
          <w:bCs/>
          <w:color w:val="2E7D6B"/>
          <w:sz w:val="24"/>
          <w:szCs w:val="24"/>
        </w:rPr>
        <w:t xml:space="preserve">5.3 Blast-radius and change-impact queries</w:t>
      </w:r>
    </w:p>
    <w:p>
      <w:pPr>
        <w:spacing w:after="180" w:line="276"/>
        <w:jc w:val="left"/>
      </w:pPr>
      <w:r>
        <w:rPr>
          <w:sz w:val="21"/>
          <w:szCs w:val="21"/>
        </w:rPr>
        <w:t xml:space="preserve">A breadth-first traversal of the dependency graph from any starting file or table, in either or both directions: upstream (what the node depends on) and downstream (what depends on the node). Each affected node is reported at the shortest number of hops at which it is reachable, together with one concrete predecessor edge, so a result can be traced back to a real relationship rather than an abstract count.</w:t>
      </w:r>
    </w:p>
    <w:p>
      <w:pPr>
        <w:spacing w:after="180" w:line="276"/>
        <w:jc w:val="left"/>
      </w:pPr>
      <w:r>
        <w:rPr>
          <w:sz w:val="21"/>
          <w:szCs w:val="21"/>
        </w:rPr>
        <w:t xml:space="preserve">Results are enriched with each affected node's current debt score and classified by kind; a node that is referenced only through an edge — for example, a coupling target that was not itself part of the analyzed codebase — is reported as external rather than silently omitted.</w:t>
      </w:r>
    </w:p>
    <w:p>
      <w:pPr>
        <w:spacing w:after="180" w:line="276"/>
        <w:jc w:val="left"/>
      </w:pPr>
      <w:r>
        <w:rPr>
          <w:sz w:val="21"/>
          <w:szCs w:val="21"/>
        </w:rPr>
        <w:t xml:space="preserve">Blast-radius queries are exposed three ways, all backed by the same underlying logic: the </w:t>
      </w:r>
      <w:r>
        <w:rPr>
          <w:rFonts w:ascii="Consolas" w:cs="Consolas" w:eastAsia="Consolas" w:hAnsi="Consolas"/>
          <w:color w:val="8A3B00"/>
          <w:sz w:val="20"/>
          <w:szCs w:val="20"/>
        </w:rPr>
        <w:t xml:space="preserve">GET /api/blast-radius</w:t>
      </w:r>
      <w:r>
        <w:rPr>
          <w:sz w:val="21"/>
          <w:szCs w:val="21"/>
        </w:rPr>
        <w:t xml:space="preserve"> endpoint, a Blast Radius panel in the dependency-flow graph interface, and the MCP server's </w:t>
      </w:r>
      <w:r>
        <w:rPr>
          <w:rFonts w:ascii="Consolas" w:cs="Consolas" w:eastAsia="Consolas" w:hAnsi="Consolas"/>
          <w:color w:val="8A3B00"/>
          <w:sz w:val="20"/>
          <w:szCs w:val="20"/>
        </w:rPr>
        <w:t xml:space="preserve">get_blast_radius</w:t>
      </w:r>
      <w:r>
        <w:rPr>
          <w:sz w:val="21"/>
          <w:szCs w:val="21"/>
        </w:rPr>
        <w:t xml:space="preserve"> tool.</w:t>
      </w:r>
    </w:p>
    <w:p>
      <w:pPr>
        <w:pStyle w:val="Heading1"/>
        <w:pBdr>
          <w:bottom w:val="single" w:color="CCCCCC" w:sz="4" w:space="4"/>
        </w:pBdr>
        <w:spacing w:after="160" w:before="360"/>
      </w:pPr>
      <w:r>
        <w:rPr>
          <w:b/>
          <w:bCs/>
          <w:color w:val="1F4E5F"/>
          <w:sz w:val="30"/>
          <w:szCs w:val="30"/>
        </w:rPr>
        <w:t xml:space="preserve">6. Pull-Request History Mining</w:t>
      </w:r>
    </w:p>
    <w:p>
      <w:pPr>
        <w:spacing w:after="180" w:line="276"/>
        <w:jc w:val="left"/>
      </w:pPr>
      <w:r>
        <w:rPr>
          <w:sz w:val="21"/>
          <w:szCs w:val="21"/>
        </w:rPr>
        <w:t xml:space="preserve">Durable engineering knowledge — the reasoning behind a non-obvious ordering requirement, or the incident a particular change was written to prevent — is often recorded once, in a merged pull request's description, and then never resurfaces. Pull-request history mining recovers that knowledge and attaches it to the files it concerns.</w:t>
      </w:r>
    </w:p>
    <w:p>
      <w:pPr>
        <w:spacing w:after="180" w:line="276"/>
        <w:jc w:val="left"/>
      </w:pPr>
      <w:r>
        <w:rPr>
          <w:sz w:val="21"/>
          <w:szCs w:val="21"/>
        </w:rPr>
        <w:t xml:space="preserve">The platform detects a locally cloned repository's GitHub or GitLab.com origin remote, retrieves its recently merged pull or merge requests — optionally authenticated with a token configured in Admin settings, which also raises the unauthenticated rate limit — and passes batches of pull-request titles, bodies, and touched-file lists to the configured AI provider. The provider is instructed to extract only durable, file-scoped findings, explicitly ignoring routine pull requests such as dependency bumps, formatting changes, and typo fixes, and never to reference a file outside the pull request's actual file list.</w:t>
      </w:r>
    </w:p>
    <w:p>
      <w:pPr>
        <w:spacing w:after="180" w:line="276"/>
        <w:jc w:val="left"/>
      </w:pPr>
      <w:r>
        <w:rPr>
          <w:sz w:val="21"/>
          <w:szCs w:val="21"/>
        </w:rPr>
        <w:t xml:space="preserve">Mining is opt-in and initiated per repository from the Admin panel, since it involves both a network call and an AI call; it never runs automatically as part of a routine analysis. Once mined, results are stored in the persistent database and survive re-analyses. They are retrievable through </w:t>
      </w:r>
      <w:r>
        <w:rPr>
          <w:rFonts w:ascii="Consolas" w:cs="Consolas" w:eastAsia="Consolas" w:hAnsi="Consolas"/>
          <w:color w:val="8A3B00"/>
          <w:sz w:val="20"/>
          <w:szCs w:val="20"/>
        </w:rPr>
        <w:t xml:space="preserve">GET /api/pr-insights</w:t>
      </w:r>
      <w:r>
        <w:rPr>
          <w:sz w:val="21"/>
          <w:szCs w:val="21"/>
        </w:rPr>
        <w:t xml:space="preserve">, surfaced directly in each file's detail panel, and available to MCP clients through the </w:t>
      </w:r>
      <w:r>
        <w:rPr>
          <w:rFonts w:ascii="Consolas" w:cs="Consolas" w:eastAsia="Consolas" w:hAnsi="Consolas"/>
          <w:color w:val="8A3B00"/>
          <w:sz w:val="20"/>
          <w:szCs w:val="20"/>
        </w:rPr>
        <w:t xml:space="preserve">get_pr_insights</w:t>
      </w:r>
      <w:r>
        <w:rPr>
          <w:sz w:val="21"/>
          <w:szCs w:val="21"/>
        </w:rPr>
        <w:t xml:space="preserve"> tool.</w:t>
      </w:r>
    </w:p>
    <w:p>
      <w:pPr>
        <w:pBdr>
          <w:left w:val="single" w:color="2E7D6B" w:sz="18" w:space="8"/>
        </w:pBdr>
        <w:shd w:fill="F2F7F6" w:val="clear"/>
        <w:spacing w:after="220" w:before="100" w:line="276"/>
        <w:ind w:left="360"/>
      </w:pPr>
      <w:r>
        <w:rPr>
          <w:sz w:val="21"/>
          <w:szCs w:val="21"/>
        </w:rPr>
        <w:t xml:space="preserve">This capability currently supports repositories hosted on GitHub or GitLab.com, detected from the repository's local origin remote. Self-hosted Git servers are not yet recognized; the platform reports this clearly rather than silently skipping the step.</w:t>
      </w:r>
    </w:p>
    <w:p>
      <w:pPr>
        <w:pStyle w:val="Heading1"/>
        <w:pBdr>
          <w:bottom w:val="single" w:color="CCCCCC" w:sz="4" w:space="4"/>
        </w:pBdr>
        <w:spacing w:after="160" w:before="360"/>
      </w:pPr>
      <w:r>
        <w:rPr>
          <w:b/>
          <w:bCs/>
          <w:color w:val="1F4E5F"/>
          <w:sz w:val="30"/>
          <w:szCs w:val="30"/>
        </w:rPr>
        <w:t xml:space="preserve">7. AI-Authored Module and Architecture Narratives</w:t>
      </w:r>
    </w:p>
    <w:p>
      <w:pPr>
        <w:spacing w:after="180" w:line="276"/>
        <w:jc w:val="left"/>
      </w:pPr>
      <w:r>
        <w:rPr>
          <w:sz w:val="21"/>
          <w:szCs w:val="21"/>
        </w:rPr>
        <w:t xml:space="preserve">The platform groups analyzed files into modules — by default, the first two path segments beneath each repository's root — and can generate a written narrative for any module on demand: its apparent role, its responsibilities, its key files (with an explanation of why each matters), and specific debt or design concerns, all grounded in the module's real metrics and source excerpts drawn from its highest-debt files. The generating model is explicitly instructed to ground every claim in the material it was given and never invent a file, framework, or behavior.</w:t>
      </w:r>
    </w:p>
    <w:p>
      <w:pPr>
        <w:spacing w:after="180" w:line="276"/>
        <w:jc w:val="left"/>
      </w:pPr>
      <w:r>
        <w:rPr>
          <w:sz w:val="21"/>
          <w:szCs w:val="21"/>
        </w:rPr>
        <w:t xml:space="preserve">Narratives are cached, keyed by a content hash computed over each module's file list, debt scores, and line counts. Revisiting the Architecture tab does not trigger a new AI call unless the module's composition or metrics have changed since the cached narrative was generated; a narrative that has fallen out of date is flagged in the interface rather than served silently.</w:t>
      </w:r>
    </w:p>
    <w:p>
      <w:pPr>
        <w:pBdr>
          <w:left w:val="single" w:color="2E7D6B" w:sz="18" w:space="8"/>
        </w:pBdr>
        <w:shd w:fill="F2F7F6" w:val="clear"/>
        <w:spacing w:after="220" w:before="100" w:line="276"/>
        <w:ind w:left="360"/>
      </w:pPr>
      <w:r>
        <w:rPr>
          <w:sz w:val="21"/>
          <w:szCs w:val="21"/>
        </w:rPr>
        <w:t xml:space="preserve">Module grouping reflects folder depth rather than a modeled architectural boundary. A repository with many top-level files will produce a correspondingly larger number of single-file modules. This makes the feature well suited to onboarding and triage, and most effective alongside the dependency graph and blast-radius views, rather than as a definitive service map on its own.</w:t>
      </w:r>
    </w:p>
    <w:p>
      <w:pPr>
        <w:pStyle w:val="Heading1"/>
        <w:pBdr>
          <w:bottom w:val="single" w:color="CCCCCC" w:sz="4" w:space="4"/>
        </w:pBdr>
        <w:spacing w:after="160" w:before="360"/>
      </w:pPr>
      <w:r>
        <w:rPr>
          <w:b/>
          <w:bCs/>
          <w:color w:val="1F4E5F"/>
          <w:sz w:val="30"/>
          <w:szCs w:val="30"/>
        </w:rPr>
        <w:t xml:space="preserve">8. Trend History Across Analysis Runs</w:t>
      </w:r>
    </w:p>
    <w:p>
      <w:pPr>
        <w:spacing w:after="180" w:line="276"/>
        <w:jc w:val="left"/>
      </w:pPr>
      <w:r>
        <w:rPr>
          <w:sz w:val="21"/>
          <w:szCs w:val="21"/>
        </w:rPr>
        <w:t xml:space="preserve">Each completed analysis run is recorded rather than overwriting the one before it. Two tables in the persistent database support this: a run-summary table (repository label, file, table, and edge counts, average code and database debt, and high-debt file count per run) and a per-node history table (one row per file or table per run, recording its debt score at that point in time).</w:t>
      </w:r>
    </w:p>
    <w:p>
      <w:pPr>
        <w:spacing w:after="180" w:line="276"/>
        <w:jc w:val="left"/>
      </w:pPr>
      <w:r>
        <w:rPr>
          <w:rFonts w:ascii="Consolas" w:cs="Consolas" w:eastAsia="Consolas" w:hAnsi="Consolas"/>
          <w:color w:val="8A3B00"/>
          <w:sz w:val="20"/>
          <w:szCs w:val="20"/>
        </w:rPr>
        <w:t xml:space="preserve">GET /api/runs</w:t>
      </w:r>
      <w:r>
        <w:rPr>
          <w:sz w:val="21"/>
          <w:szCs w:val="21"/>
        </w:rPr>
        <w:t xml:space="preserve"> lists every recorded run in chronological order; </w:t>
      </w:r>
      <w:r>
        <w:rPr>
          <w:rFonts w:ascii="Consolas" w:cs="Consolas" w:eastAsia="Consolas" w:hAnsi="Consolas"/>
          <w:color w:val="8A3B00"/>
          <w:sz w:val="20"/>
          <w:szCs w:val="20"/>
        </w:rPr>
        <w:t xml:space="preserve">GET /api/trend?node_id=</w:t>
      </w:r>
      <w:r>
        <w:rPr>
          <w:sz w:val="21"/>
          <w:szCs w:val="21"/>
        </w:rPr>
        <w:t xml:space="preserve"> returns a single file or table's debt-score series across runs. The dashboard renders this as a sparkline in each file or table's detail panel once at least two data points exist, allowing reviewers to distinguish a file that is genuinely trending worse from one that simply looks unfavorable in an isolated snapshot.</w:t>
      </w:r>
    </w:p>
    <w:p>
      <w:pPr>
        <w:pStyle w:val="Heading1"/>
        <w:pBdr>
          <w:bottom w:val="single" w:color="CCCCCC" w:sz="4" w:space="4"/>
        </w:pBdr>
        <w:spacing w:after="160" w:before="360"/>
      </w:pPr>
      <w:r>
        <w:rPr>
          <w:b/>
          <w:bCs/>
          <w:color w:val="1F4E5F"/>
          <w:sz w:val="30"/>
          <w:szCs w:val="30"/>
        </w:rPr>
        <w:t xml:space="preserve">9. MCP Server Integration</w:t>
      </w:r>
    </w:p>
    <w:p>
      <w:pPr>
        <w:spacing w:after="180" w:line="276"/>
        <w:jc w:val="left"/>
      </w:pPr>
      <w:r>
        <w:rPr>
          <w:sz w:val="21"/>
          <w:szCs w:val="21"/>
        </w:rPr>
        <w:t xml:space="preserve">Tech Debt Radar exposes its most recently completed analysis to any MCP-compatible client — including Claude Code, Cursor, and Claude Desktop — through a standalone Model Context Protocol server running over stdio transport, built on the official MCP Python SDK. Running as a separate process, rather than as a route on the web application, allows an MCP client to query the codebase's debt state without the web server needing to be running and without the two processes coordinating a network port.</w:t>
      </w:r>
    </w:p>
    <w:p>
      <w:pPr>
        <w:spacing w:after="180" w:line="276"/>
        <w:jc w:val="left"/>
      </w:pPr>
      <w:r>
        <w:rPr>
          <w:sz w:val="21"/>
          <w:szCs w:val="21"/>
        </w:rPr>
        <w:t xml:space="preserve">Nine tools are exposed:</w:t>
      </w:r>
    </w:p>
    <w:p>
      <w:pPr>
        <w:pStyle w:val="ListParagraph"/>
        <w:numPr>
          <w:ilvl w:val="0"/>
          <w:numId w:val="2"/>
        </w:numPr>
        <w:spacing w:after="120" w:line="276"/>
      </w:pPr>
      <w:r>
        <w:rPr>
          <w:rFonts w:ascii="Consolas" w:cs="Consolas" w:eastAsia="Consolas" w:hAnsi="Consolas"/>
          <w:color w:val="8A3B00"/>
          <w:sz w:val="20"/>
          <w:szCs w:val="20"/>
        </w:rPr>
        <w:t xml:space="preserve">get_project_overview</w:t>
      </w:r>
      <w:r>
        <w:rPr>
          <w:sz w:val="21"/>
          <w:szCs w:val="21"/>
        </w:rPr>
        <w:t xml:space="preserve">, </w:t>
      </w:r>
      <w:r>
        <w:rPr>
          <w:rFonts w:ascii="Consolas" w:cs="Consolas" w:eastAsia="Consolas" w:hAnsi="Consolas"/>
          <w:color w:val="8A3B00"/>
          <w:sz w:val="20"/>
          <w:szCs w:val="20"/>
        </w:rPr>
        <w:t xml:space="preserve">get_module_info</w:t>
      </w:r>
      <w:r>
        <w:rPr>
          <w:sz w:val="21"/>
          <w:szCs w:val="21"/>
        </w:rPr>
        <w:t xml:space="preserve">, </w:t>
      </w:r>
      <w:r>
        <w:rPr>
          <w:rFonts w:ascii="Consolas" w:cs="Consolas" w:eastAsia="Consolas" w:hAnsi="Consolas"/>
          <w:color w:val="8A3B00"/>
          <w:sz w:val="20"/>
          <w:szCs w:val="20"/>
        </w:rPr>
        <w:t xml:space="preserve">get_file</w:t>
      </w:r>
      <w:r>
        <w:rPr>
          <w:sz w:val="21"/>
          <w:szCs w:val="21"/>
        </w:rPr>
        <w:t xml:space="preserve">, and </w:t>
      </w:r>
      <w:r>
        <w:rPr>
          <w:rFonts w:ascii="Consolas" w:cs="Consolas" w:eastAsia="Consolas" w:hAnsi="Consolas"/>
          <w:color w:val="8A3B00"/>
          <w:sz w:val="20"/>
          <w:szCs w:val="20"/>
        </w:rPr>
        <w:t xml:space="preserve">get_dependencies</w:t>
      </w:r>
      <w:r>
        <w:rPr>
          <w:sz w:val="21"/>
          <w:szCs w:val="21"/>
        </w:rPr>
        <w:t xml:space="preserve"> — read access to the most recent analysis.</w:t>
      </w:r>
    </w:p>
    <w:p>
      <w:pPr>
        <w:pStyle w:val="ListParagraph"/>
        <w:numPr>
          <w:ilvl w:val="0"/>
          <w:numId w:val="2"/>
        </w:numPr>
        <w:spacing w:after="120" w:line="276"/>
      </w:pPr>
      <w:r>
        <w:rPr>
          <w:rFonts w:ascii="Consolas" w:cs="Consolas" w:eastAsia="Consolas" w:hAnsi="Consolas"/>
          <w:color w:val="8A3B00"/>
          <w:sz w:val="20"/>
          <w:szCs w:val="20"/>
        </w:rPr>
        <w:t xml:space="preserve">get_blast_radius</w:t>
      </w:r>
      <w:r>
        <w:rPr>
          <w:sz w:val="21"/>
          <w:szCs w:val="21"/>
        </w:rPr>
        <w:t xml:space="preserve"> — a direct wrapper around the blast-radius query described in Section 5.3.</w:t>
      </w:r>
    </w:p>
    <w:p>
      <w:pPr>
        <w:pStyle w:val="ListParagraph"/>
        <w:numPr>
          <w:ilvl w:val="0"/>
          <w:numId w:val="2"/>
        </w:numPr>
        <w:spacing w:after="120" w:line="276"/>
      </w:pPr>
      <w:r>
        <w:rPr>
          <w:rFonts w:ascii="Consolas" w:cs="Consolas" w:eastAsia="Consolas" w:hAnsi="Consolas"/>
          <w:color w:val="8A3B00"/>
          <w:sz w:val="20"/>
          <w:szCs w:val="20"/>
        </w:rPr>
        <w:t xml:space="preserve">get_pr_insights</w:t>
      </w:r>
      <w:r>
        <w:rPr>
          <w:sz w:val="21"/>
          <w:szCs w:val="21"/>
        </w:rPr>
        <w:t xml:space="preserve"> — mined pull-request insights for a given file.</w:t>
      </w:r>
    </w:p>
    <w:p>
      <w:pPr>
        <w:pStyle w:val="ListParagraph"/>
        <w:numPr>
          <w:ilvl w:val="0"/>
          <w:numId w:val="2"/>
        </w:numPr>
        <w:spacing w:after="120" w:line="276"/>
      </w:pPr>
      <w:r>
        <w:rPr>
          <w:rFonts w:ascii="Consolas" w:cs="Consolas" w:eastAsia="Consolas" w:hAnsi="Consolas"/>
          <w:color w:val="8A3B00"/>
          <w:sz w:val="20"/>
          <w:szCs w:val="20"/>
        </w:rPr>
        <w:t xml:space="preserve">ask_codebase</w:t>
      </w:r>
      <w:r>
        <w:rPr>
          <w:sz w:val="21"/>
          <w:szCs w:val="21"/>
        </w:rPr>
        <w:t xml:space="preserve"> — an LLM call grounded in the run's summary and highest-debt files.</w:t>
      </w:r>
    </w:p>
    <w:p>
      <w:pPr>
        <w:pStyle w:val="ListParagraph"/>
        <w:numPr>
          <w:ilvl w:val="0"/>
          <w:numId w:val="2"/>
        </w:numPr>
        <w:spacing w:after="120" w:line="276"/>
      </w:pPr>
      <w:r>
        <w:rPr>
          <w:rFonts w:ascii="Consolas" w:cs="Consolas" w:eastAsia="Consolas" w:hAnsi="Consolas"/>
          <w:color w:val="8A3B00"/>
          <w:sz w:val="20"/>
          <w:szCs w:val="20"/>
        </w:rPr>
        <w:t xml:space="preserve">list_pending_annotations</w:t>
      </w:r>
      <w:r>
        <w:rPr>
          <w:sz w:val="21"/>
          <w:szCs w:val="21"/>
        </w:rPr>
        <w:t xml:space="preserve"> — the current queue of annotations awaiting human review.</w:t>
      </w:r>
    </w:p>
    <w:p>
      <w:pPr>
        <w:pStyle w:val="ListParagraph"/>
        <w:numPr>
          <w:ilvl w:val="0"/>
          <w:numId w:val="2"/>
        </w:numPr>
        <w:spacing w:after="120" w:line="276"/>
      </w:pPr>
      <w:r>
        <w:rPr>
          <w:rFonts w:ascii="Consolas" w:cs="Consolas" w:eastAsia="Consolas" w:hAnsi="Consolas"/>
          <w:color w:val="8A3B00"/>
          <w:sz w:val="20"/>
          <w:szCs w:val="20"/>
        </w:rPr>
        <w:t xml:space="preserve">annotate_node</w:t>
      </w:r>
      <w:r>
        <w:rPr>
          <w:sz w:val="21"/>
          <w:szCs w:val="21"/>
        </w:rPr>
        <w:t xml:space="preserve"> — the server's only write-capable tool.</w:t>
      </w:r>
    </w:p>
    <w:p>
      <w:pPr>
        <w:spacing w:after="180" w:line="276"/>
        <w:jc w:val="left"/>
      </w:pPr>
      <w:r>
        <w:rPr>
          <w:rFonts w:ascii="Consolas" w:cs="Consolas" w:eastAsia="Consolas" w:hAnsi="Consolas"/>
          <w:color w:val="8A3B00"/>
          <w:sz w:val="20"/>
          <w:szCs w:val="20"/>
        </w:rPr>
        <w:t xml:space="preserve">annotate_node</w:t>
      </w:r>
      <w:r>
        <w:rPr>
          <w:sz w:val="21"/>
          <w:szCs w:val="21"/>
        </w:rPr>
        <w:t xml:space="preserve"> is the sole tool that writes anything, and what it writes carries no effect on its own: it inserts a row into an annotations table with a pending status. A human reviewer must explicitly approve or reject each proposed annotation from the Admin panel before it has any visible effect elsewhere in the system — a direct application of the platform's broader principle that nothing changes without an operator's approval, applied to the one place an external agent can propose a change at all.</w:t>
      </w:r>
    </w:p>
    <w:p>
      <w:pPr>
        <w:spacing w:after="180" w:line="276"/>
        <w:jc w:val="left"/>
      </w:pPr>
      <w:r>
        <w:rPr>
          <w:sz w:val="21"/>
          <w:szCs w:val="21"/>
        </w:rPr>
        <w:t xml:space="preserve">Because the MCP server reads directly from the same on-disk analysis payload and settings database the web application maintains, it always reflects the last completed analysis rather than one in progress, and it surfaces computed metrics rather than raw source — an MCP-connected coding agent typically already has direct file access through its own editor integration.</w:t>
      </w:r>
    </w:p>
    <w:p>
      <w:pPr>
        <w:pStyle w:val="Heading1"/>
        <w:pBdr>
          <w:bottom w:val="single" w:color="CCCCCC" w:sz="4" w:space="4"/>
        </w:pBdr>
        <w:spacing w:after="160" w:before="360"/>
      </w:pPr>
      <w:r>
        <w:rPr>
          <w:b/>
          <w:bCs/>
          <w:color w:val="1F4E5F"/>
          <w:sz w:val="30"/>
          <w:szCs w:val="30"/>
        </w:rPr>
        <w:t xml:space="preserve">10. API Reference</w:t>
      </w:r>
    </w:p>
    <w:p>
      <w:pPr>
        <w:spacing w:after="180" w:line="276"/>
        <w:jc w:val="left"/>
      </w:pPr>
      <w:r>
        <w:rPr>
          <w:sz w:val="21"/>
          <w:szCs w:val="21"/>
        </w:rPr>
        <w:t xml:space="preserve">The following endpoints support the capabilities described in this document. They are additive to the platform's existing analysis, recommendation, and settings endpoints.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rPr>
          <w:tblHeader/>
        </w:trPr>
        <w:tc>
          <w:tcPr>
            <w:tcW w:type="dxa" w:w="3200"/>
            <w:shd w:fill="1F4E5F" w:val="clear"/>
            <w:tcMar>
              <w:top w:type="dxa" w:w="100"/>
              <w:left w:type="dxa" w:w="120"/>
              <w:bottom w:type="dxa" w:w="100"/>
              <w:right w:type="dxa" w:w="120"/>
            </w:tcMar>
          </w:tcPr>
          <w:p>
            <w:r>
              <w:rPr>
                <w:b/>
                <w:bCs/>
                <w:color w:val="FFFFFF"/>
                <w:sz w:val="19"/>
                <w:szCs w:val="19"/>
              </w:rPr>
              <w:t xml:space="preserve">Endpoint</w:t>
            </w:r>
          </w:p>
        </w:tc>
        <w:tc>
          <w:tcPr>
            <w:tcW w:type="dxa" w:w="6640"/>
            <w:shd w:fill="1F4E5F" w:val="clear"/>
            <w:tcMar>
              <w:top w:type="dxa" w:w="100"/>
              <w:left w:type="dxa" w:w="120"/>
              <w:bottom w:type="dxa" w:w="100"/>
              <w:right w:type="dxa" w:w="120"/>
            </w:tcMar>
          </w:tcPr>
          <w:p>
            <w:r>
              <w:rPr>
                <w:b/>
                <w:bCs/>
                <w:color w:val="FFFFFF"/>
                <w:sz w:val="19"/>
                <w:szCs w:val="19"/>
              </w:rPr>
              <w:t xml:space="preserve">Description</w:t>
            </w:r>
          </w:p>
        </w:tc>
      </w:tr>
      <w:tr>
        <w:tc>
          <w:tcPr>
            <w:tcW w:type="dxa" w:w="3200"/>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GET /api/blast-radius</w:t>
            </w:r>
          </w:p>
        </w:tc>
        <w:tc>
          <w:tcPr>
            <w:tcW w:type="dxa" w:w="6640"/>
            <w:tcMar>
              <w:top w:type="dxa" w:w="100"/>
              <w:left w:type="dxa" w:w="120"/>
              <w:bottom w:type="dxa" w:w="100"/>
              <w:right w:type="dxa" w:w="120"/>
            </w:tcMar>
          </w:tcPr>
          <w:p>
            <w:r>
              <w:rPr>
                <w:b w:val="false"/>
                <w:bCs w:val="false"/>
                <w:color w:val="1A1A1A"/>
                <w:sz w:val="19"/>
                <w:szCs w:val="19"/>
              </w:rPr>
              <w:t xml:space="preserve">Blast-radius / change-impact query for a file or table. Accepts node_id, direction, and max_depth.</w:t>
            </w:r>
          </w:p>
        </w:tc>
      </w:tr>
      <w:tr>
        <w:tc>
          <w:tcPr>
            <w:tcW w:type="dxa" w:w="3200"/>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GET /api/runs</w:t>
            </w:r>
          </w:p>
        </w:tc>
        <w:tc>
          <w:tcPr>
            <w:tcW w:type="dxa" w:w="6640"/>
            <w:tcMar>
              <w:top w:type="dxa" w:w="100"/>
              <w:left w:type="dxa" w:w="120"/>
              <w:bottom w:type="dxa" w:w="100"/>
              <w:right w:type="dxa" w:w="120"/>
            </w:tcMar>
          </w:tcPr>
          <w:p>
            <w:r>
              <w:rPr>
                <w:b w:val="false"/>
                <w:bCs w:val="false"/>
                <w:color w:val="1A1A1A"/>
                <w:sz w:val="19"/>
                <w:szCs w:val="19"/>
              </w:rPr>
              <w:t xml:space="preserve">Lists all recorded analysis runs, oldest first.</w:t>
            </w:r>
          </w:p>
        </w:tc>
      </w:tr>
      <w:tr>
        <w:tc>
          <w:tcPr>
            <w:tcW w:type="dxa" w:w="3200"/>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GET /api/trend</w:t>
            </w:r>
          </w:p>
        </w:tc>
        <w:tc>
          <w:tcPr>
            <w:tcW w:type="dxa" w:w="6640"/>
            <w:tcMar>
              <w:top w:type="dxa" w:w="100"/>
              <w:left w:type="dxa" w:w="120"/>
              <w:bottom w:type="dxa" w:w="100"/>
              <w:right w:type="dxa" w:w="120"/>
            </w:tcMar>
          </w:tcPr>
          <w:p>
            <w:r>
              <w:rPr>
                <w:b w:val="false"/>
                <w:bCs w:val="false"/>
                <w:color w:val="1A1A1A"/>
                <w:sz w:val="19"/>
                <w:szCs w:val="19"/>
              </w:rPr>
              <w:t xml:space="preserve">Returns one file or table's debt-score history across runs. Accepts node_id.</w:t>
            </w:r>
          </w:p>
        </w:tc>
      </w:tr>
      <w:tr>
        <w:tc>
          <w:tcPr>
            <w:tcW w:type="dxa" w:w="3200"/>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POST /api/pr-insights/mine</w:t>
            </w:r>
          </w:p>
        </w:tc>
        <w:tc>
          <w:tcPr>
            <w:tcW w:type="dxa" w:w="6640"/>
            <w:tcMar>
              <w:top w:type="dxa" w:w="100"/>
              <w:left w:type="dxa" w:w="120"/>
              <w:bottom w:type="dxa" w:w="100"/>
              <w:right w:type="dxa" w:w="120"/>
            </w:tcMar>
          </w:tcPr>
          <w:p>
            <w:r>
              <w:rPr>
                <w:b w:val="false"/>
                <w:bCs w:val="false"/>
                <w:color w:val="1A1A1A"/>
                <w:sz w:val="19"/>
                <w:szCs w:val="19"/>
              </w:rPr>
              <w:t xml:space="preserve">Starts pull-request history mining for a repository.</w:t>
            </w:r>
          </w:p>
        </w:tc>
      </w:tr>
      <w:tr>
        <w:tc>
          <w:tcPr>
            <w:tcW w:type="dxa" w:w="3200"/>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GET /api/pr-insights/status</w:t>
            </w:r>
          </w:p>
        </w:tc>
        <w:tc>
          <w:tcPr>
            <w:tcW w:type="dxa" w:w="6640"/>
            <w:tcMar>
              <w:top w:type="dxa" w:w="100"/>
              <w:left w:type="dxa" w:w="120"/>
              <w:bottom w:type="dxa" w:w="100"/>
              <w:right w:type="dxa" w:w="120"/>
            </w:tcMar>
          </w:tcPr>
          <w:p>
            <w:r>
              <w:rPr>
                <w:b w:val="false"/>
                <w:bCs w:val="false"/>
                <w:color w:val="1A1A1A"/>
                <w:sz w:val="19"/>
                <w:szCs w:val="19"/>
              </w:rPr>
              <w:t xml:space="preserve">Polls the status of a pull-request mining job. Accepts repo_slug.</w:t>
            </w:r>
          </w:p>
        </w:tc>
      </w:tr>
      <w:tr>
        <w:tc>
          <w:tcPr>
            <w:tcW w:type="dxa" w:w="3200"/>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GET /api/pr-insights</w:t>
            </w:r>
          </w:p>
        </w:tc>
        <w:tc>
          <w:tcPr>
            <w:tcW w:type="dxa" w:w="6640"/>
            <w:tcMar>
              <w:top w:type="dxa" w:w="100"/>
              <w:left w:type="dxa" w:w="120"/>
              <w:bottom w:type="dxa" w:w="100"/>
              <w:right w:type="dxa" w:w="120"/>
            </w:tcMar>
          </w:tcPr>
          <w:p>
            <w:r>
              <w:rPr>
                <w:b w:val="false"/>
                <w:bCs w:val="false"/>
                <w:color w:val="1A1A1A"/>
                <w:sz w:val="19"/>
                <w:szCs w:val="19"/>
              </w:rPr>
              <w:t xml:space="preserve">Retrieves mined pull-request insights for a file. Accepts file_id.</w:t>
            </w:r>
          </w:p>
        </w:tc>
      </w:tr>
      <w:tr>
        <w:tc>
          <w:tcPr>
            <w:tcW w:type="dxa" w:w="3200"/>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GET /api/modules</w:t>
            </w:r>
          </w:p>
        </w:tc>
        <w:tc>
          <w:tcPr>
            <w:tcW w:type="dxa" w:w="6640"/>
            <w:tcMar>
              <w:top w:type="dxa" w:w="100"/>
              <w:left w:type="dxa" w:w="120"/>
              <w:bottom w:type="dxa" w:w="100"/>
              <w:right w:type="dxa" w:w="120"/>
            </w:tcMar>
          </w:tcPr>
          <w:p>
            <w:r>
              <w:rPr>
                <w:b w:val="false"/>
                <w:bCs w:val="false"/>
                <w:color w:val="1A1A1A"/>
                <w:sz w:val="19"/>
                <w:szCs w:val="19"/>
              </w:rPr>
              <w:t xml:space="preserve">Lists modules with aggregate debt summaries.</w:t>
            </w:r>
          </w:p>
        </w:tc>
      </w:tr>
      <w:tr>
        <w:tc>
          <w:tcPr>
            <w:tcW w:type="dxa" w:w="3200"/>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POST /api/modules/generate</w:t>
            </w:r>
          </w:p>
        </w:tc>
        <w:tc>
          <w:tcPr>
            <w:tcW w:type="dxa" w:w="6640"/>
            <w:tcMar>
              <w:top w:type="dxa" w:w="100"/>
              <w:left w:type="dxa" w:w="120"/>
              <w:bottom w:type="dxa" w:w="100"/>
              <w:right w:type="dxa" w:w="120"/>
            </w:tcMar>
          </w:tcPr>
          <w:p>
            <w:r>
              <w:rPr>
                <w:b w:val="false"/>
                <w:bCs w:val="false"/>
                <w:color w:val="1A1A1A"/>
                <w:sz w:val="19"/>
                <w:szCs w:val="19"/>
              </w:rPr>
              <w:t xml:space="preserve">Generates or regenerates an AI narrative for a module.</w:t>
            </w:r>
          </w:p>
        </w:tc>
      </w:tr>
      <w:tr>
        <w:tc>
          <w:tcPr>
            <w:tcW w:type="dxa" w:w="3200"/>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GET /api/annotations</w:t>
            </w:r>
          </w:p>
        </w:tc>
        <w:tc>
          <w:tcPr>
            <w:tcW w:type="dxa" w:w="6640"/>
            <w:tcMar>
              <w:top w:type="dxa" w:w="100"/>
              <w:left w:type="dxa" w:w="120"/>
              <w:bottom w:type="dxa" w:w="100"/>
              <w:right w:type="dxa" w:w="120"/>
            </w:tcMar>
          </w:tcPr>
          <w:p>
            <w:r>
              <w:rPr>
                <w:b w:val="false"/>
                <w:bCs w:val="false"/>
                <w:color w:val="1A1A1A"/>
                <w:sz w:val="19"/>
                <w:szCs w:val="19"/>
              </w:rPr>
              <w:t xml:space="preserve">Lists pending MCP-proposed annotations.</w:t>
            </w:r>
          </w:p>
        </w:tc>
      </w:tr>
      <w:tr>
        <w:tc>
          <w:tcPr>
            <w:tcW w:type="dxa" w:w="3200"/>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POST /api/annotations/{id}/approve</w:t>
            </w:r>
          </w:p>
        </w:tc>
        <w:tc>
          <w:tcPr>
            <w:tcW w:type="dxa" w:w="6640"/>
            <w:tcMar>
              <w:top w:type="dxa" w:w="100"/>
              <w:left w:type="dxa" w:w="120"/>
              <w:bottom w:type="dxa" w:w="100"/>
              <w:right w:type="dxa" w:w="120"/>
            </w:tcMar>
          </w:tcPr>
          <w:p>
            <w:r>
              <w:rPr>
                <w:b w:val="false"/>
                <w:bCs w:val="false"/>
                <w:color w:val="1A1A1A"/>
                <w:sz w:val="19"/>
                <w:szCs w:val="19"/>
              </w:rPr>
              <w:t xml:space="preserve">Approves a pending annotation.</w:t>
            </w:r>
          </w:p>
        </w:tc>
      </w:tr>
      <w:tr>
        <w:tc>
          <w:tcPr>
            <w:tcW w:type="dxa" w:w="3200"/>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POST /api/annotations/{id}/reject</w:t>
            </w:r>
          </w:p>
        </w:tc>
        <w:tc>
          <w:tcPr>
            <w:tcW w:type="dxa" w:w="6640"/>
            <w:tcMar>
              <w:top w:type="dxa" w:w="100"/>
              <w:left w:type="dxa" w:w="120"/>
              <w:bottom w:type="dxa" w:w="100"/>
              <w:right w:type="dxa" w:w="120"/>
            </w:tcMar>
          </w:tcPr>
          <w:p>
            <w:r>
              <w:rPr>
                <w:b w:val="false"/>
                <w:bCs w:val="false"/>
                <w:color w:val="1A1A1A"/>
                <w:sz w:val="19"/>
                <w:szCs w:val="19"/>
              </w:rPr>
              <w:t xml:space="preserve">Rejects a pending annotation.</w:t>
            </w:r>
          </w:p>
        </w:tc>
      </w:tr>
    </w:tbl>
    <w:p>
      <w:pPr>
        <w:pStyle w:val="Heading1"/>
        <w:pBdr>
          <w:bottom w:val="single" w:color="CCCCCC" w:sz="4" w:space="4"/>
        </w:pBdr>
        <w:spacing w:after="160" w:before="360"/>
      </w:pPr>
      <w:r>
        <w:rPr>
          <w:b/>
          <w:bCs/>
          <w:color w:val="1F4E5F"/>
          <w:sz w:val="30"/>
          <w:szCs w:val="30"/>
        </w:rPr>
        <w:t xml:space="preserve">11. Data Model Summary</w:t>
      </w:r>
    </w:p>
    <w:p>
      <w:pPr>
        <w:pStyle w:val="Heading3"/>
        <w:spacing w:after="100" w:before="200"/>
      </w:pPr>
      <w:r>
        <w:rPr>
          <w:b/>
          <w:bCs/>
          <w:color w:val="333333"/>
          <w:sz w:val="22"/>
          <w:szCs w:val="22"/>
        </w:rPr>
        <w:t xml:space="preserve">Persistent store (app.db)</w:t>
      </w:r>
    </w:p>
    <w:p>
      <w:pPr>
        <w:pStyle w:val="ListParagraph"/>
        <w:numPr>
          <w:ilvl w:val="0"/>
          <w:numId w:val="2"/>
        </w:numPr>
        <w:spacing w:after="120" w:line="276"/>
      </w:pPr>
      <w:r>
        <w:rPr>
          <w:b/>
          <w:bCs/>
          <w:sz w:val="21"/>
          <w:szCs w:val="21"/>
        </w:rPr>
        <w:t xml:space="preserve">analysis_runs</w:t>
      </w:r>
      <w:r>
        <w:rPr>
          <w:sz w:val="21"/>
          <w:szCs w:val="21"/>
        </w:rPr>
        <w:t xml:space="preserve"> — one row per completed analysis run.</w:t>
      </w:r>
    </w:p>
    <w:p>
      <w:pPr>
        <w:pStyle w:val="ListParagraph"/>
        <w:numPr>
          <w:ilvl w:val="0"/>
          <w:numId w:val="2"/>
        </w:numPr>
        <w:spacing w:after="120" w:line="276"/>
      </w:pPr>
      <w:r>
        <w:rPr>
          <w:b/>
          <w:bCs/>
          <w:sz w:val="21"/>
          <w:szCs w:val="21"/>
        </w:rPr>
        <w:t xml:space="preserve">node_debt_history</w:t>
      </w:r>
      <w:r>
        <w:rPr>
          <w:sz w:val="21"/>
          <w:szCs w:val="21"/>
        </w:rPr>
        <w:t xml:space="preserve"> — one row per file or table per run.</w:t>
      </w:r>
    </w:p>
    <w:p>
      <w:pPr>
        <w:pStyle w:val="ListParagraph"/>
        <w:numPr>
          <w:ilvl w:val="0"/>
          <w:numId w:val="2"/>
        </w:numPr>
        <w:spacing w:after="120" w:line="276"/>
      </w:pPr>
      <w:r>
        <w:rPr>
          <w:b/>
          <w:bCs/>
          <w:sz w:val="21"/>
          <w:szCs w:val="21"/>
        </w:rPr>
        <w:t xml:space="preserve">pr_insights</w:t>
      </w:r>
      <w:r>
        <w:rPr>
          <w:sz w:val="21"/>
          <w:szCs w:val="21"/>
        </w:rPr>
        <w:t xml:space="preserve"> — mined pull-request findings, keyed by repository and file.</w:t>
      </w:r>
    </w:p>
    <w:p>
      <w:pPr>
        <w:pStyle w:val="ListParagraph"/>
        <w:numPr>
          <w:ilvl w:val="0"/>
          <w:numId w:val="2"/>
        </w:numPr>
        <w:spacing w:after="120" w:line="276"/>
      </w:pPr>
      <w:r>
        <w:rPr>
          <w:b/>
          <w:bCs/>
          <w:sz w:val="21"/>
          <w:szCs w:val="21"/>
        </w:rPr>
        <w:t xml:space="preserve">module_narratives</w:t>
      </w:r>
      <w:r>
        <w:rPr>
          <w:sz w:val="21"/>
          <w:szCs w:val="21"/>
        </w:rPr>
        <w:t xml:space="preserve"> — cached AI-generated module narratives, keyed by module and content hash.</w:t>
      </w:r>
    </w:p>
    <w:p>
      <w:pPr>
        <w:pStyle w:val="ListParagraph"/>
        <w:numPr>
          <w:ilvl w:val="0"/>
          <w:numId w:val="2"/>
        </w:numPr>
        <w:spacing w:after="120" w:line="276"/>
      </w:pPr>
      <w:r>
        <w:rPr>
          <w:b/>
          <w:bCs/>
          <w:sz w:val="21"/>
          <w:szCs w:val="21"/>
        </w:rPr>
        <w:t xml:space="preserve">graph_annotations</w:t>
      </w:r>
      <w:r>
        <w:rPr>
          <w:sz w:val="21"/>
          <w:szCs w:val="21"/>
        </w:rPr>
        <w:t xml:space="preserve"> — annotations proposed through the MCP server, with their approval status.</w:t>
      </w:r>
    </w:p>
    <w:p>
      <w:pPr>
        <w:pStyle w:val="Heading3"/>
        <w:spacing w:after="100" w:before="200"/>
      </w:pPr>
      <w:r>
        <w:rPr>
          <w:b/>
          <w:bCs/>
          <w:color w:val="333333"/>
          <w:sz w:val="22"/>
          <w:szCs w:val="22"/>
        </w:rPr>
        <w:t xml:space="preserve">Snapshot store (debt_radar.db)</w:t>
      </w:r>
    </w:p>
    <w:p>
      <w:pPr>
        <w:spacing w:after="180" w:line="276"/>
        <w:jc w:val="left"/>
      </w:pPr>
      <w:r>
        <w:rPr>
          <w:sz w:val="21"/>
          <w:szCs w:val="21"/>
        </w:rPr>
        <w:t xml:space="preserve">Rebuilt on every analysis run; holds the current run's file, table, and edge data used to drive the live dashboard.</w:t>
      </w:r>
    </w:p>
    <w:p>
      <w:pPr>
        <w:pStyle w:val="Heading1"/>
        <w:pBdr>
          <w:bottom w:val="single" w:color="CCCCCC" w:sz="4" w:space="4"/>
        </w:pBdr>
        <w:spacing w:after="160" w:before="360"/>
      </w:pPr>
      <w:r>
        <w:rPr>
          <w:b/>
          <w:bCs/>
          <w:color w:val="1F4E5F"/>
          <w:sz w:val="30"/>
          <w:szCs w:val="30"/>
        </w:rPr>
        <w:t xml:space="preserve">12. Current Limitations</w:t>
      </w:r>
    </w:p>
    <w:p>
      <w:pPr>
        <w:pStyle w:val="ListParagraph"/>
        <w:numPr>
          <w:ilvl w:val="0"/>
          <w:numId w:val="2"/>
        </w:numPr>
        <w:spacing w:after="120" w:line="276"/>
      </w:pPr>
      <w:r>
        <w:rPr>
          <w:b/>
          <w:bCs/>
          <w:sz w:val="21"/>
          <w:szCs w:val="21"/>
        </w:rPr>
        <w:t xml:space="preserve">Coupling detection</w:t>
      </w:r>
      <w:r>
        <w:rPr>
          <w:sz w:val="21"/>
          <w:szCs w:val="21"/>
        </w:rPr>
        <w:t xml:space="preserve"> is a static, pattern-based heuristic. It does not perform dataflow analysis and cannot detect a coupling built from a key constructed at runtime.</w:t>
      </w:r>
    </w:p>
    <w:p>
      <w:pPr>
        <w:pStyle w:val="ListParagraph"/>
        <w:numPr>
          <w:ilvl w:val="0"/>
          <w:numId w:val="2"/>
        </w:numPr>
        <w:spacing w:after="120" w:line="276"/>
      </w:pPr>
      <w:r>
        <w:rPr>
          <w:b/>
          <w:bCs/>
          <w:sz w:val="21"/>
          <w:szCs w:val="21"/>
        </w:rPr>
        <w:t xml:space="preserve">Pull-request history mining</w:t>
      </w:r>
      <w:r>
        <w:rPr>
          <w:sz w:val="21"/>
          <w:szCs w:val="21"/>
        </w:rPr>
        <w:t xml:space="preserve"> currently supports GitHub and GitLab.com only, and mining a given repository depends on that repository's local clone path having been resolved during the most recent analysis run.</w:t>
      </w:r>
    </w:p>
    <w:p>
      <w:pPr>
        <w:pStyle w:val="ListParagraph"/>
        <w:numPr>
          <w:ilvl w:val="0"/>
          <w:numId w:val="2"/>
        </w:numPr>
        <w:spacing w:after="120" w:line="276"/>
      </w:pPr>
      <w:r>
        <w:rPr>
          <w:b/>
          <w:bCs/>
          <w:sz w:val="21"/>
          <w:szCs w:val="21"/>
        </w:rPr>
        <w:t xml:space="preserve">Module grouping</w:t>
      </w:r>
      <w:r>
        <w:rPr>
          <w:sz w:val="21"/>
          <w:szCs w:val="21"/>
        </w:rPr>
        <w:t xml:space="preserve"> reflects folder depth rather than a modeled architectural boundary.</w:t>
      </w:r>
    </w:p>
    <w:p>
      <w:pPr>
        <w:pStyle w:val="ListParagraph"/>
        <w:numPr>
          <w:ilvl w:val="0"/>
          <w:numId w:val="2"/>
        </w:numPr>
        <w:spacing w:after="120" w:line="276"/>
      </w:pPr>
      <w:r>
        <w:rPr>
          <w:b/>
          <w:bCs/>
          <w:sz w:val="21"/>
          <w:szCs w:val="21"/>
        </w:rPr>
        <w:t xml:space="preserve">Blast-radius queries, trend history, and the MCP server</w:t>
      </w:r>
      <w:r>
        <w:rPr>
          <w:sz w:val="21"/>
          <w:szCs w:val="21"/>
        </w:rPr>
        <w:t xml:space="preserve"> all reflect the most recently completed analysis rather than one in progress.</w:t>
      </w:r>
    </w:p>
    <w:p>
      <w:pPr>
        <w:pStyle w:val="ListParagraph"/>
        <w:numPr>
          <w:ilvl w:val="0"/>
          <w:numId w:val="2"/>
        </w:numPr>
        <w:spacing w:after="120" w:line="276"/>
      </w:pPr>
      <w:r>
        <w:rPr>
          <w:b/>
          <w:bCs/>
          <w:sz w:val="21"/>
          <w:szCs w:val="21"/>
        </w:rPr>
        <w:t xml:space="preserve">The dependency graph</w:t>
      </w:r>
      <w:r>
        <w:rPr>
          <w:sz w:val="21"/>
          <w:szCs w:val="21"/>
        </w:rPr>
        <w:t xml:space="preserve"> currently operates at file level; a symbol- or call-level graph is not part of the platform at this time.</w:t>
      </w:r>
    </w:p>
    <w:p>
      <w:pPr>
        <w:pStyle w:val="Heading1"/>
        <w:pBdr>
          <w:bottom w:val="single" w:color="CCCCCC" w:sz="4" w:space="4"/>
        </w:pBdr>
        <w:spacing w:after="160" w:before="360"/>
      </w:pPr>
      <w:r>
        <w:rPr>
          <w:b/>
          <w:bCs/>
          <w:color w:val="1F4E5F"/>
          <w:sz w:val="30"/>
          <w:szCs w:val="30"/>
        </w:rPr>
        <w:t xml:space="preserve">13. Security and Data Handling</w:t>
      </w:r>
    </w:p>
    <w:p>
      <w:pPr>
        <w:spacing w:after="180" w:line="276"/>
        <w:jc w:val="left"/>
      </w:pPr>
      <w:r>
        <w:rPr>
          <w:sz w:val="21"/>
          <w:szCs w:val="21"/>
        </w:rPr>
        <w:t xml:space="preserve">Tech Debt Radar is self-hosted end to end and requires no managed service to operate. Outbound network calls are limited to the AI provider an operator configures — used for recommendations, module narratives, pull-request insight extraction, and the platform's conversational Ask feature — and, only when explicitly enabled per repository, read-only calls to the GitHub or GitLab public REST API for pull-request history mining. All computed metrics, dependency graphs, and historical data are stored locally in the two SQLite databases described in Section 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color w:val="5A6B6B"/>
        <w:sz w:val="16"/>
        <w:szCs w:val="16"/>
      </w:rPr>
      <w:t xml:space="preserve">Tech Debt Radar — Technical Architecture  |  Page </w:t>
    </w:r>
    <w:r>
      <w:rPr>
        <w:color w:val="5A6B6B"/>
        <w:sz w:val="16"/>
        <w:szCs w:val="16"/>
      </w:rPr>
      <w:fldChar w:fldCharType="begin"/>
      <w:instrText xml:space="preserve">PAGE</w:instrText>
      <w:fldChar w:fldCharType="separate"/>
      <w:fldChar w:fldCharType="end"/>
    </w:r>
    <w:r>
      <w:rPr>
        <w:color w:val="5A6B6B"/>
        <w:sz w:val="16"/>
        <w:szCs w:val="16"/>
      </w:rPr>
      <w:t xml:space="preserve"> of </w:t>
    </w:r>
    <w:r>
      <w:rPr>
        <w:color w:val="5A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2026-09-14T07:16:02.555Z</dcterms:created>
  <dcterms:modified xsi:type="dcterms:W3CDTF">2026-09-14T07:16:02.555Z</dcterms:modified>
</cp:coreProperties>
</file>

<file path=docProps/custom.xml><?xml version="1.0" encoding="utf-8"?>
<Properties xmlns="http://schemas.openxmlformats.org/officeDocument/2006/custom-properties" xmlns:vt="http://schemas.openxmlformats.org/officeDocument/2006/docPropsVTypes"/>
</file>