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2540"/>
          <w:sz w:val="40"/>
          <w:szCs w:val="40"/>
        </w:rPr>
        <w:t xml:space="preserve">Tech Engineering Debt Radar</w:t>
      </w:r>
    </w:p>
    <w:p>
      <w:pPr>
        <w:spacing w:after="300"/>
      </w:pPr>
      <w:r>
        <w:rPr>
          <w:color w:val="5B7290"/>
          <w:sz w:val="26"/>
          <w:szCs w:val="26"/>
        </w:rPr>
        <w:t xml:space="preserve">Components &amp; Software Libraries Reference</w:t>
      </w:r>
    </w:p>
    <w:p>
      <w:pPr>
        <w:spacing w:after="120"/>
      </w:pPr>
      <w:r>
        <w:t xml:space="preserve">This document lists every software component, library, and external service the debt-radar application relies on, and what each one is actually used for. It covers three codebase languages (Python, .NET/C#, and TypeScript/JavaScript/React/Angular), three RDBMS dialects (PostgreSQL, MySQL/MariaDB, SQL Server), multi-repo/multi-database orchestration (analyze several related codebases and databases together in one combined view — including a single repo that itself mixes languages, e.g. a .NET backend alongside a separate JS/TS frontend folder), optional Jira/Confluence context for the AI, SOLID/reusability-aware debt scoring (and, for the front end, scoring against the team's own attached front-end design-practices document), an uploadable knowledge base of technical documents retrieved via local embeddings to ground AI answers with transparent citations, confidence scores, and feedback-weighted ranking, and everything from before: the backend (Python), the frontend (npm/JavaScript), and external systems the app talks to but doesn't bundle.</w:t>
      </w:r>
    </w:p>
    <w:p>
      <w:pPr>
        <w:pStyle w:val="Heading1"/>
        <w:spacing w:after="150" w:before="300"/>
      </w:pPr>
      <w:r>
        <w:t xml:space="preserve">Backend — Python</w:t>
      </w:r>
    </w:p>
    <w:p>
      <w:pPr>
        <w:spacing w:after="120"/>
      </w:pPr>
      <w:r>
        <w:t xml:space="preserve">Installed via pip install -r requirements.txt.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fastapi</w:t>
            </w:r>
          </w:p>
        </w:tc>
        <w:tc>
          <w:tcPr>
            <w:tcW w:type="dxa" w:w="1300"/>
          </w:tcPr>
          <w:p>
            <w:r>
              <w:t xml:space="preserve">0.11x</w:t>
            </w:r>
          </w:p>
        </w:tc>
        <w:tc>
          <w:tcPr>
            <w:tcW w:type="dxa" w:w="5800"/>
          </w:tcPr>
          <w:p>
            <w:r>
              <w:t xml:space="preserve">The web framework the whole backend runs on — defines every /api/* route (analyze, status, metrics, chat, settings, feedback).</w:t>
            </w:r>
          </w:p>
        </w:tc>
        <w:tc>
          <w:tcPr>
            <w:tcW w:type="dxa" w:w="1200"/>
          </w:tcPr>
          <w:p>
            <w:r>
              <w:t xml:space="preserve">Python</w:t>
            </w:r>
          </w:p>
        </w:tc>
      </w:tr>
      <w:tr>
        <w:tc>
          <w:tcPr>
            <w:tcW w:type="dxa" w:w="2200"/>
          </w:tcPr>
          <w:p>
            <w:r>
              <w:t xml:space="preserve">uvicorn</w:t>
            </w:r>
          </w:p>
        </w:tc>
        <w:tc>
          <w:tcPr>
            <w:tcW w:type="dxa" w:w="1300"/>
          </w:tcPr>
          <w:p>
            <w:r>
              <w:t xml:space="preserve">0.3x</w:t>
            </w:r>
          </w:p>
        </w:tc>
        <w:tc>
          <w:tcPr>
            <w:tcW w:type="dxa" w:w="5800"/>
          </w:tcPr>
          <w:p>
            <w:r>
              <w:t xml:space="preserve">The ASGI server that actually runs the FastAPI app and serves HTTP requests on port 8000.</w:t>
            </w:r>
          </w:p>
        </w:tc>
        <w:tc>
          <w:tcPr>
            <w:tcW w:type="dxa" w:w="1200"/>
          </w:tcPr>
          <w:p>
            <w:r>
              <w:t xml:space="preserve">Python</w:t>
            </w:r>
          </w:p>
        </w:tc>
      </w:tr>
      <w:tr>
        <w:tc>
          <w:tcPr>
            <w:tcW w:type="dxa" w:w="2200"/>
          </w:tcPr>
          <w:p>
            <w:r>
              <w:t xml:space="preserve">pydantic</w:t>
            </w:r>
          </w:p>
        </w:tc>
        <w:tc>
          <w:tcPr>
            <w:tcW w:type="dxa" w:w="1300"/>
          </w:tcPr>
          <w:p>
            <w:r>
              <w:t xml:space="preserve">2.x</w:t>
            </w:r>
          </w:p>
        </w:tc>
        <w:tc>
          <w:tcPr>
            <w:tcW w:type="dxa" w:w="5800"/>
          </w:tcPr>
          <w:p>
            <w:r>
              <w:t xml:space="preserve">Validates and parses the JSON bodies of every API request. AnalyzeRequest is now a list-based contract — repos[] (RepoEntry), databases[] (DbEntry), and external_context[] (ExternalContextEntry) — instead of a single repo/db pair, so one request can describe several related codebases and databases at once.</w:t>
            </w:r>
          </w:p>
        </w:tc>
        <w:tc>
          <w:tcPr>
            <w:tcW w:type="dxa" w:w="1200"/>
          </w:tcPr>
          <w:p>
            <w:r>
              <w:t xml:space="preserve">Python</w:t>
            </w:r>
          </w:p>
        </w:tc>
      </w:tr>
      <w:tr>
        <w:tc>
          <w:tcPr>
            <w:tcW w:type="dxa" w:w="2200"/>
          </w:tcPr>
          <w:p>
            <w:r>
              <w:t xml:space="preserve">radon</w:t>
            </w:r>
          </w:p>
        </w:tc>
        <w:tc>
          <w:tcPr>
            <w:tcW w:type="dxa" w:w="1300"/>
          </w:tcPr>
          <w:p>
            <w:r>
              <w:t xml:space="preserve">6.x</w:t>
            </w:r>
          </w:p>
        </w:tc>
        <w:tc>
          <w:tcPr>
            <w:tcW w:type="dxa" w:w="5800"/>
          </w:tcPr>
          <w:p>
            <w:r>
              <w:t xml:space="preserve">Computes cyclomatic complexity, maintainability index, and raw line counts for every Python file analyzed — the Python-only half of the code-debt score's complexity component (code_analyzers/python_analyzer.py). The .NET path computes the equivalent metrics itself via Roslyn — see the .NET section below.</w:t>
            </w:r>
          </w:p>
        </w:tc>
        <w:tc>
          <w:tcPr>
            <w:tcW w:type="dxa" w:w="1200"/>
          </w:tcPr>
          <w:p>
            <w:r>
              <w:t xml:space="preserve">Python</w:t>
            </w:r>
          </w:p>
        </w:tc>
      </w:tr>
      <w:tr>
        <w:tc>
          <w:tcPr>
            <w:tcW w:type="dxa" w:w="2200"/>
          </w:tcPr>
          <w:p>
            <w:r>
              <w:t xml:space="preserve">bandit</w:t>
            </w:r>
          </w:p>
        </w:tc>
        <w:tc>
          <w:tcPr>
            <w:tcW w:type="dxa" w:w="1300"/>
          </w:tcPr>
          <w:p>
            <w:r>
              <w:t xml:space="preserve">1.9.x</w:t>
            </w:r>
          </w:p>
        </w:tc>
        <w:tc>
          <w:tcPr>
            <w:tcW w:type="dxa" w:w="5800"/>
          </w:tcPr>
          <w:p>
            <w:r>
              <w:t xml:space="preserve">Real static security scanner for Python — finds hardcoded secrets, SQL-injection-prone string building, unsafe deserialization, shell=True calls, etc. Feeds the security component of the code debt score for Python files only; .NET files are scanned by a separate Roslyn-based checker (see below).</w:t>
            </w:r>
          </w:p>
        </w:tc>
        <w:tc>
          <w:tcPr>
            <w:tcW w:type="dxa" w:w="1200"/>
          </w:tcPr>
          <w:p>
            <w:r>
              <w:t xml:space="preserve">Python</w:t>
            </w:r>
          </w:p>
        </w:tc>
      </w:tr>
      <w:tr>
        <w:tc>
          <w:tcPr>
            <w:tcW w:type="dxa" w:w="2200"/>
          </w:tcPr>
          <w:p>
            <w:r>
              <w:t xml:space="preserve">sqlalchemy</w:t>
            </w:r>
          </w:p>
        </w:tc>
        <w:tc>
          <w:tcPr>
            <w:tcW w:type="dxa" w:w="1300"/>
          </w:tcPr>
          <w:p>
            <w:r>
              <w:t xml:space="preserve">2.x</w:t>
            </w:r>
          </w:p>
        </w:tc>
        <w:tc>
          <w:tcPr>
            <w:tcW w:type="dxa" w:w="5800"/>
          </w:tcPr>
          <w:p>
            <w:r>
              <w:t xml:space="preserve">Dialect-agnostic live database introspection (db_analyzers/live.py) — tables, columns, primary keys, foreign keys, and indexes, via one Inspector API that works against PostgreSQL, MySQL/MariaDB, SQL Server, or any other SQLAlchemy-supported RDBMS. Replaced the earlier Postgres-only psycopg2 queries as the core of live introspection.</w:t>
            </w:r>
          </w:p>
        </w:tc>
        <w:tc>
          <w:tcPr>
            <w:tcW w:type="dxa" w:w="1200"/>
          </w:tcPr>
          <w:p>
            <w:r>
              <w:t xml:space="preserve">Python</w:t>
            </w:r>
          </w:p>
        </w:tc>
      </w:tr>
      <w:tr>
        <w:tc>
          <w:tcPr>
            <w:tcW w:type="dxa" w:w="2200"/>
          </w:tcPr>
          <w:p>
            <w:r>
              <w:t xml:space="preserve">psycopg2-binary</w:t>
            </w:r>
          </w:p>
        </w:tc>
        <w:tc>
          <w:tcPr>
            <w:tcW w:type="dxa" w:w="1300"/>
          </w:tcPr>
          <w:p>
            <w:r>
              <w:t xml:space="preserve">2.9.x</w:t>
            </w:r>
          </w:p>
        </w:tc>
        <w:tc>
          <w:tcPr>
            <w:tcW w:type="dxa" w:w="5800"/>
          </w:tcPr>
          <w:p>
            <w:r>
              <w:t xml:space="preserve">PostgreSQL driver — used by SQLAlchemy for live Postgres connections, and by db_analyzers/dialect_extras.py for Postgres-specific extras (live row estimates, PUBLIC grant checks) that aren't available through generic SQLAlchemy reflection.</w:t>
            </w:r>
          </w:p>
        </w:tc>
        <w:tc>
          <w:tcPr>
            <w:tcW w:type="dxa" w:w="1200"/>
          </w:tcPr>
          <w:p>
            <w:r>
              <w:t xml:space="preserve">Python</w:t>
            </w:r>
          </w:p>
        </w:tc>
      </w:tr>
      <w:tr>
        <w:tc>
          <w:tcPr>
            <w:tcW w:type="dxa" w:w="2200"/>
          </w:tcPr>
          <w:p>
            <w:r>
              <w:t xml:space="preserve">pymysql</w:t>
            </w:r>
          </w:p>
        </w:tc>
        <w:tc>
          <w:tcPr>
            <w:tcW w:type="dxa" w:w="1300"/>
          </w:tcPr>
          <w:p>
            <w:r>
              <w:t xml:space="preserve">1.x</w:t>
            </w:r>
          </w:p>
        </w:tc>
        <w:tc>
          <w:tcPr>
            <w:tcW w:type="dxa" w:w="5800"/>
          </w:tcPr>
          <w:p>
            <w:r>
              <w:t xml:space="preserve">MySQL/MariaDB driver — used by SQLAlchemy for live MySQL connections (connection strings of the form mysql+pymysql://...).</w:t>
            </w:r>
          </w:p>
        </w:tc>
        <w:tc>
          <w:tcPr>
            <w:tcW w:type="dxa" w:w="1200"/>
          </w:tcPr>
          <w:p>
            <w:r>
              <w:t xml:space="preserve">Python</w:t>
            </w:r>
          </w:p>
        </w:tc>
      </w:tr>
      <w:tr>
        <w:tc>
          <w:tcPr>
            <w:tcW w:type="dxa" w:w="2200"/>
          </w:tcPr>
          <w:p>
            <w:r>
              <w:t xml:space="preserve">pyodbc</w:t>
            </w:r>
          </w:p>
        </w:tc>
        <w:tc>
          <w:tcPr>
            <w:tcW w:type="dxa" w:w="1300"/>
          </w:tcPr>
          <w:p>
            <w:r>
              <w:t xml:space="preserve">5.x</w:t>
            </w:r>
          </w:p>
        </w:tc>
        <w:tc>
          <w:tcPr>
            <w:tcW w:type="dxa" w:w="5800"/>
          </w:tcPr>
          <w:p>
            <w:r>
              <w:t xml:space="preserve">SQL Server driver — used by SQLAlchemy for live SQL Server connections (mssql+pyodbc://...). Requires an ODBC Driver (17 or 18) for SQL Server installed on the host — not something pip install can provide.</w:t>
            </w:r>
          </w:p>
        </w:tc>
        <w:tc>
          <w:tcPr>
            <w:tcW w:type="dxa" w:w="1200"/>
          </w:tcPr>
          <w:p>
            <w:r>
              <w:t xml:space="preserve">Python</w:t>
            </w:r>
          </w:p>
        </w:tc>
      </w:tr>
      <w:tr>
        <w:tc>
          <w:tcPr>
            <w:tcW w:type="dxa" w:w="2200"/>
          </w:tcPr>
          <w:p>
            <w:r>
              <w:t xml:space="preserve">sqlglot</w:t>
            </w:r>
          </w:p>
        </w:tc>
        <w:tc>
          <w:tcPr>
            <w:tcW w:type="dxa" w:w="1300"/>
          </w:tcPr>
          <w:p>
            <w:r>
              <w:t xml:space="preserve">30.x</w:t>
            </w:r>
          </w:p>
        </w:tc>
        <w:tc>
          <w:tcPr>
            <w:tcW w:type="dxa" w:w="5800"/>
          </w:tcPr>
          <w:p>
            <w:r>
              <w:t xml:space="preserve">Multi-dialect SQL parser (db_analyzers/sql_file.py) — parses an uploaded .sql schema file (Postgres, MySQL, or T-SQL/SQL Server) into tables, columns, and foreign keys when there's no live database connection. Replaced the original Postgres-only regex-based parser.</w:t>
            </w:r>
          </w:p>
        </w:tc>
        <w:tc>
          <w:tcPr>
            <w:tcW w:type="dxa" w:w="1200"/>
          </w:tcPr>
          <w:p>
            <w:r>
              <w:t xml:space="preserve">Python</w:t>
            </w:r>
          </w:p>
        </w:tc>
      </w:tr>
      <w:tr>
        <w:tc>
          <w:tcPr>
            <w:tcW w:type="dxa" w:w="2200"/>
          </w:tcPr>
          <w:p>
            <w:r>
              <w:t xml:space="preserve">anthropic</w:t>
            </w:r>
          </w:p>
        </w:tc>
        <w:tc>
          <w:tcPr>
            <w:tcW w:type="dxa" w:w="1300"/>
          </w:tcPr>
          <w:p>
            <w:r>
              <w:t xml:space="preserve">0.6x</w:t>
            </w:r>
          </w:p>
        </w:tc>
        <w:tc>
          <w:tcPr>
            <w:tcW w:type="dxa" w:w="5800"/>
          </w:tcPr>
          <w:p>
            <w:r>
              <w:t xml:space="preserve">Official SDK for calling Claude — one of the three selectable AI providers for the Ask tab and recommendations.</w:t>
            </w:r>
          </w:p>
        </w:tc>
        <w:tc>
          <w:tcPr>
            <w:tcW w:type="dxa" w:w="1200"/>
          </w:tcPr>
          <w:p>
            <w:r>
              <w:t xml:space="preserve">Python</w:t>
            </w:r>
          </w:p>
        </w:tc>
      </w:tr>
      <w:tr>
        <w:tc>
          <w:tcPr>
            <w:tcW w:type="dxa" w:w="2200"/>
          </w:tcPr>
          <w:p>
            <w:r>
              <w:t xml:space="preserve">openai</w:t>
            </w:r>
          </w:p>
        </w:tc>
        <w:tc>
          <w:tcPr>
            <w:tcW w:type="dxa" w:w="1300"/>
          </w:tcPr>
          <w:p>
            <w:r>
              <w:t xml:space="preserve">1.x</w:t>
            </w:r>
          </w:p>
        </w:tc>
        <w:tc>
          <w:tcPr>
            <w:tcW w:type="dxa" w:w="5800"/>
          </w:tcPr>
          <w:p>
            <w:r>
              <w:t xml:space="preserve">Used as a generic OpenAI-compatible client — both Gemini and Sarvam AI expose OpenAI-compatible chat endpoints, so this one library talks to both.</w:t>
            </w:r>
          </w:p>
        </w:tc>
        <w:tc>
          <w:tcPr>
            <w:tcW w:type="dxa" w:w="1200"/>
          </w:tcPr>
          <w:p>
            <w:r>
              <w:t xml:space="preserve">Python</w:t>
            </w:r>
          </w:p>
        </w:tc>
      </w:tr>
      <w:tr>
        <w:tc>
          <w:tcPr>
            <w:tcW w:type="dxa" w:w="2200"/>
          </w:tcPr>
          <w:p>
            <w:r>
              <w:t xml:space="preserve">sqlite3</w:t>
            </w:r>
          </w:p>
        </w:tc>
        <w:tc>
          <w:tcPr>
            <w:tcW w:type="dxa" w:w="1300"/>
          </w:tcPr>
          <w:p>
            <w:r>
              <w:t xml:space="preserve">stdlib</w:t>
            </w:r>
          </w:p>
        </w:tc>
        <w:tc>
          <w:tcPr>
            <w:tcW w:type="dxa" w:w="5800"/>
          </w:tcPr>
          <w:p>
            <w:r>
              <w:t xml:space="preserve">Python's built-in database module — stores analysis results (code_metrics, db_metrics, dependency_edges), app settings, and chat feedback. No separate install needed.</w:t>
            </w:r>
          </w:p>
        </w:tc>
        <w:tc>
          <w:tcPr>
            <w:tcW w:type="dxa" w:w="1200"/>
          </w:tcPr>
          <w:p>
            <w:r>
              <w:t xml:space="preserve">Python (stdlib)</w:t>
            </w:r>
          </w:p>
        </w:tc>
      </w:tr>
      <w:tr>
        <w:tc>
          <w:tcPr>
            <w:tcW w:type="dxa" w:w="2200"/>
          </w:tcPr>
          <w:p>
            <w:r>
              <w:t xml:space="preserve">ast</w:t>
            </w:r>
          </w:p>
        </w:tc>
        <w:tc>
          <w:tcPr>
            <w:tcW w:type="dxa" w:w="1300"/>
          </w:tcPr>
          <w:p>
            <w:r>
              <w:t xml:space="preserve">stdlib</w:t>
            </w:r>
          </w:p>
        </w:tc>
        <w:tc>
          <w:tcPr>
            <w:tcW w:type="dxa" w:w="5800"/>
          </w:tcPr>
          <w:p>
            <w:r>
              <w:t xml:space="preserve">Python's built-in syntax-tree parser — used by python_analyzer.py to build the import dependency graph and detect design smells for Python files: long functions, deep nesting, too many parameters, plus three newer reusability/SOLID-adjacent signals — duplicate-function hashing (identifiers/literals blanked out, so a copy-paste with renamed variables still matches), public-function count (an SRP proxy), and long if/elif chains (an OCP proxy). The .NET equivalent of all of this is computed by Roslyn — see below.</w:t>
            </w:r>
          </w:p>
        </w:tc>
        <w:tc>
          <w:tcPr>
            <w:tcW w:type="dxa" w:w="1200"/>
          </w:tcPr>
          <w:p>
            <w:r>
              <w:t xml:space="preserve">Python (stdlib)</w:t>
            </w:r>
          </w:p>
        </w:tc>
      </w:tr>
      <w:tr>
        <w:tc>
          <w:tcPr>
            <w:tcW w:type="dxa" w:w="2200"/>
          </w:tcPr>
          <w:p>
            <w:r>
              <w:t xml:space="preserve">urllib + html.parser</w:t>
            </w:r>
          </w:p>
        </w:tc>
        <w:tc>
          <w:tcPr>
            <w:tcW w:type="dxa" w:w="1300"/>
          </w:tcPr>
          <w:p>
            <w:r>
              <w:t xml:space="preserve">stdlib</w:t>
            </w:r>
          </w:p>
        </w:tc>
        <w:tc>
          <w:tcPr>
            <w:tcW w:type="dxa" w:w="5800"/>
          </w:tcPr>
          <w:p>
            <w:r>
              <w:t xml:space="preserve">Used by external_context.py to fetch Jira/Confluence context: urllib.request makes the (optionally Basic-Auth'd) REST calls, and a small html.parser.HTMLParser subclass extracts plain text from Confluence's XHTML-ish 'storage format'. No third-party HTTP client needed.</w:t>
            </w:r>
          </w:p>
        </w:tc>
        <w:tc>
          <w:tcPr>
            <w:tcW w:type="dxa" w:w="1200"/>
          </w:tcPr>
          <w:p>
            <w:r>
              <w:t xml:space="preserve">Python (stdlib)</w:t>
            </w:r>
          </w:p>
        </w:tc>
      </w:tr>
      <w:tr>
        <w:tc>
          <w:tcPr>
            <w:tcW w:type="dxa" w:w="2200"/>
          </w:tcPr>
          <w:p>
            <w:r>
              <w:t xml:space="preserve">git</w:t>
            </w:r>
          </w:p>
        </w:tc>
        <w:tc>
          <w:tcPr>
            <w:tcW w:type="dxa" w:w="1300"/>
          </w:tcPr>
          <w:p>
            <w:r>
              <w:t xml:space="preserve">system</w:t>
            </w:r>
          </w:p>
        </w:tc>
        <w:tc>
          <w:tcPr>
            <w:tcW w:type="dxa" w:w="5800"/>
          </w:tcPr>
          <w:p>
            <w:r>
              <w:t xml:space="preserve">External command-line tool (not a Python package) — used to clone remote repos (one clone per repo entry, for git_url sources) and read commit history for the churn metric, for both Python and .NET codebases.</w:t>
            </w:r>
          </w:p>
        </w:tc>
        <w:tc>
          <w:tcPr>
            <w:tcW w:type="dxa" w:w="1200"/>
          </w:tcPr>
          <w:p>
            <w:r>
              <w:t xml:space="preserve">System tool</w:t>
            </w:r>
          </w:p>
        </w:tc>
      </w:tr>
      <w:tr>
        <w:tc>
          <w:tcPr>
            <w:tcW w:type="dxa" w:w="2200"/>
          </w:tcPr>
          <w:p>
            <w:r>
              <w:t xml:space="preserve">fastembed</w:t>
            </w:r>
          </w:p>
        </w:tc>
        <w:tc>
          <w:tcPr>
            <w:tcW w:type="dxa" w:w="1300"/>
          </w:tcPr>
          <w:p>
            <w:r>
              <w:t xml:space="preserve">0.5x</w:t>
            </w:r>
          </w:p>
        </w:tc>
        <w:tc>
          <w:tcPr>
            <w:tcW w:type="dxa" w:w="5800"/>
          </w:tcPr>
          <w:p>
            <w:r>
              <w:t xml:space="preserve">Local, ONNX-runtime-based text embedding model (BAAI/bge-small-en-v1.5, 384 dimensions) used by knowledge_base.py to turn uploaded document chunks — and search queries — into vectors, entirely on the host machine with no API key and no per-call cost. See the Knowledge base / RAG section below.</w:t>
            </w:r>
          </w:p>
        </w:tc>
        <w:tc>
          <w:tcPr>
            <w:tcW w:type="dxa" w:w="1200"/>
          </w:tcPr>
          <w:p>
            <w:r>
              <w:t xml:space="preserve">Python</w:t>
            </w:r>
          </w:p>
        </w:tc>
      </w:tr>
      <w:tr>
        <w:tc>
          <w:tcPr>
            <w:tcW w:type="dxa" w:w="2200"/>
          </w:tcPr>
          <w:p>
            <w:r>
              <w:t xml:space="preserve">pypdf</w:t>
            </w:r>
          </w:p>
        </w:tc>
        <w:tc>
          <w:tcPr>
            <w:tcW w:type="dxa" w:w="1300"/>
          </w:tcPr>
          <w:p>
            <w:r>
              <w:t xml:space="preserve">5.x</w:t>
            </w:r>
          </w:p>
        </w:tc>
        <w:tc>
          <w:tcPr>
            <w:tcW w:type="dxa" w:w="5800"/>
          </w:tcPr>
          <w:p>
            <w:r>
              <w:t xml:space="preserve">Extracts per-page plain text from an uploaded .pdf document during knowledge-base ingestion, keeping page numbers intact so citations can reference the exact page a fact came from.</w:t>
            </w:r>
          </w:p>
        </w:tc>
        <w:tc>
          <w:tcPr>
            <w:tcW w:type="dxa" w:w="1200"/>
          </w:tcPr>
          <w:p>
            <w:r>
              <w:t xml:space="preserve">Python</w:t>
            </w:r>
          </w:p>
        </w:tc>
      </w:tr>
      <w:tr>
        <w:tc>
          <w:tcPr>
            <w:tcW w:type="dxa" w:w="2200"/>
          </w:tcPr>
          <w:p>
            <w:r>
              <w:t xml:space="preserve">python-docx</w:t>
            </w:r>
          </w:p>
        </w:tc>
        <w:tc>
          <w:tcPr>
            <w:tcW w:type="dxa" w:w="1300"/>
          </w:tcPr>
          <w:p>
            <w:r>
              <w:t xml:space="preserve">1.x</w:t>
            </w:r>
          </w:p>
        </w:tc>
        <w:tc>
          <w:tcPr>
            <w:tcW w:type="dxa" w:w="5800"/>
          </w:tcPr>
          <w:p>
            <w:r>
              <w:t xml:space="preserve">Extracts paragraph text from an uploaded .docx document during knowledge-base ingestion (the same library the docs skill uses to build this document).</w:t>
            </w:r>
          </w:p>
        </w:tc>
        <w:tc>
          <w:tcPr>
            <w:tcW w:type="dxa" w:w="1200"/>
          </w:tcPr>
          <w:p>
            <w:r>
              <w:t xml:space="preserve">Python</w:t>
            </w:r>
          </w:p>
        </w:tc>
      </w:tr>
      <w:tr>
        <w:tc>
          <w:tcPr>
            <w:tcW w:type="dxa" w:w="2200"/>
          </w:tcPr>
          <w:p>
            <w:r>
              <w:t xml:space="preserve">numpy</w:t>
            </w:r>
          </w:p>
        </w:tc>
        <w:tc>
          <w:tcPr>
            <w:tcW w:type="dxa" w:w="1300"/>
          </w:tcPr>
          <w:p>
            <w:r>
              <w:t xml:space="preserve">2.x</w:t>
            </w:r>
          </w:p>
        </w:tc>
        <w:tc>
          <w:tcPr>
            <w:tcW w:type="dxa" w:w="5800"/>
          </w:tcPr>
          <w:p>
            <w:r>
              <w:t xml:space="preserve">Decodes each chunk's stored embedding BLOB back into a vector and computes cosine similarity for knowledge-base search — a brute-force linear scan across all stored chunks, fast enough at the scale of a single team's document library that no dedicated vector database is needed.</w:t>
            </w:r>
          </w:p>
        </w:tc>
        <w:tc>
          <w:tcPr>
            <w:tcW w:type="dxa" w:w="1200"/>
          </w:tcPr>
          <w:p>
            <w:r>
              <w:t xml:space="preserve">Python</w:t>
            </w:r>
          </w:p>
        </w:tc>
      </w:tr>
      <w:tr>
        <w:tc>
          <w:tcPr>
            <w:tcW w:type="dxa" w:w="2200"/>
          </w:tcPr>
          <w:p>
            <w:r>
              <w:t xml:space="preserve">python-multipart</w:t>
            </w:r>
          </w:p>
        </w:tc>
        <w:tc>
          <w:tcPr>
            <w:tcW w:type="dxa" w:w="1300"/>
          </w:tcPr>
          <w:p>
            <w:r>
              <w:t xml:space="preserve">0.0.x</w:t>
            </w:r>
          </w:p>
        </w:tc>
        <w:tc>
          <w:tcPr>
            <w:tcW w:type="dxa" w:w="5800"/>
          </w:tcPr>
          <w:p>
            <w:r>
              <w:t xml:space="preserve">Required by FastAPI's UploadFile to parse multipart/form-data request bodies — used only by the /api/knowledge/upload endpoint.</w:t>
            </w:r>
          </w:p>
        </w:tc>
        <w:tc>
          <w:tcPr>
            <w:tcW w:type="dxa" w:w="1200"/>
          </w:tcPr>
          <w:p>
            <w:r>
              <w:t xml:space="preserve">Python</w:t>
            </w:r>
          </w:p>
        </w:tc>
      </w:tr>
    </w:tbl>
    <w:p>
      <w:pPr>
        <w:pStyle w:val="Heading1"/>
        <w:spacing w:after="150" w:before="300"/>
      </w:pPr>
      <w:r>
        <w:t xml:space="preserve">Backend — .NET / Roslyn analyzer</w:t>
      </w:r>
    </w:p>
    <w:p>
      <w:pPr>
        <w:spacing w:after="120"/>
      </w:pPr>
      <w:r>
        <w:t xml:space="preserve">When the analyzed codebase is auto-detected (or explicitly chosen) as .NET rather than Python, code analysis is delegated to a small bundled Roslyn-based console tool at backend/dotnet_tools/CodeMetrics, shelled out to by code_analyzers/dotnet_analyzer.py. This does real semantic analysis — a compiled AST with resolved symbols, the same way a real build sees the code — rather than text or regex heuristics, so it needs the .NET SDK installed on the host and the target repo's own packages already restored (dotnet restore) before it can run.</w:t>
      </w:r>
    </w:p>
    <w:p>
      <w:pPr>
        <w:spacing w:after="120"/>
      </w:pPr>
      <w:r>
        <w:t xml:space="preserve">It only supports modern, SDK-style .NET projects (.NET Core / .NET 5 and later, a .csproj starting with &lt;Project Sdk="Microsoft.NET.Sdk..."&gt;). Classic, pre-SDK-style full-.NET-Framework projects (old ASP.NET MVC/Web Forms apps with packages.config and &lt;TargetFrameworkVersion&gt;) need a full Visual Studio MSBuild install to evaluate at all — the tool detects this case and reports it clearly instead of failing with a raw MSBuild exception.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.NET SDK</w:t>
            </w:r>
          </w:p>
        </w:tc>
        <w:tc>
          <w:tcPr>
            <w:tcW w:type="dxa" w:w="1300"/>
          </w:tcPr>
          <w:p>
            <w:r>
              <w:t xml:space="preserve">8.0+</w:t>
            </w:r>
          </w:p>
        </w:tc>
        <w:tc>
          <w:tcPr>
            <w:tcW w:type="dxa" w:w="5800"/>
          </w:tcPr>
          <w:p>
            <w:r>
              <w:t xml:space="preserve">Needed on the host machine for two things: building/running the CodeMetrics tool itself, and — via MSBuildWorkspace — evaluating the analyzed repo's own .sln/.csproj files the same way `dotnet build` would. Not bundled with the app; installed separately (e.g. winget install Microsoft.DotNet.SDK.8). If a machine also has Visual Studio/Build Tools installed, the tool explicitly prefers the SDK's own MSBuild to avoid a version-mismatch crash.</w:t>
            </w:r>
          </w:p>
        </w:tc>
        <w:tc>
          <w:tcPr>
            <w:tcW w:type="dxa" w:w="1200"/>
          </w:tcPr>
          <w:p>
            <w:r>
              <w:t xml:space="preserve">External system tool</w:t>
            </w:r>
          </w:p>
        </w:tc>
      </w:tr>
      <w:tr>
        <w:tc>
          <w:tcPr>
            <w:tcW w:type="dxa" w:w="2200"/>
          </w:tcPr>
          <w:p>
            <w:r>
              <w:t xml:space="preserve">Microsoft.Build.Locator</w:t>
            </w:r>
          </w:p>
        </w:tc>
        <w:tc>
          <w:tcPr>
            <w:tcW w:type="dxa" w:w="1300"/>
          </w:tcPr>
          <w:p>
            <w:r>
              <w:t xml:space="preserve">1.7.x</w:t>
            </w:r>
          </w:p>
        </w:tc>
        <w:tc>
          <w:tcPr>
            <w:tcW w:type="dxa" w:w="5800"/>
          </w:tcPr>
          <w:p>
            <w:r>
              <w:t xml:space="preserve">Locates a usable MSBuild install before any MSBuild-dependent Roslyn API is touched — required boilerplate for any out-of-Visual-Studio tool that uses MSBuildWorkspace.</w:t>
            </w:r>
          </w:p>
        </w:tc>
        <w:tc>
          <w:tcPr>
            <w:tcW w:type="dxa" w:w="1200"/>
          </w:tcPr>
          <w:p>
            <w:r>
              <w:t xml:space="preserve">.NET / NuGet</w:t>
            </w:r>
          </w:p>
        </w:tc>
      </w:tr>
      <w:tr>
        <w:tc>
          <w:tcPr>
            <w:tcW w:type="dxa" w:w="2200"/>
          </w:tcPr>
          <w:p>
            <w:r>
              <w:t xml:space="preserve">Microsoft.CodeAnalysis.CSharp.Workspaces</w:t>
            </w:r>
          </w:p>
        </w:tc>
        <w:tc>
          <w:tcPr>
            <w:tcW w:type="dxa" w:w="1300"/>
          </w:tcPr>
          <w:p>
            <w:r>
              <w:t xml:space="preserve">4.11.x</w:t>
            </w:r>
          </w:p>
        </w:tc>
        <w:tc>
          <w:tcPr>
            <w:tcW w:type="dxa" w:w="5800"/>
          </w:tcPr>
          <w:p>
            <w:r>
              <w:t xml:space="preserve">The core Roslyn C# compiler APIs. Parses source into syntax trees; ComplexityAnalyzer.cs walks them to compute cyclomatic complexity, a Halstead-volume-based maintainability index, design smells (long methods, deep nesting, too many parameters, oversized files), and the three reusability/SOLID-adjacent signals — a token-stream hash per method body (identifiers/literals blanked, for cross-file/cross-repo duplicate detection), public-method count, and long if/switch chains; SecurityScanner.cs resolves real symbols (via SemanticModel.GetSymbolInfo) to detect SQL injection, weak crypto, hardcoded secrets, insecure deserialization, and command injection — the .NET counterpart to bandit, but semantic rather than text-pattern-based.</w:t>
            </w:r>
          </w:p>
        </w:tc>
        <w:tc>
          <w:tcPr>
            <w:tcW w:type="dxa" w:w="1200"/>
          </w:tcPr>
          <w:p>
            <w:r>
              <w:t xml:space="preserve">.NET / NuGet (Roslyn)</w:t>
            </w:r>
          </w:p>
        </w:tc>
      </w:tr>
      <w:tr>
        <w:tc>
          <w:tcPr>
            <w:tcW w:type="dxa" w:w="2200"/>
          </w:tcPr>
          <w:p>
            <w:r>
              <w:t xml:space="preserve">Microsoft.CodeAnalysis.Workspaces.MSBuild</w:t>
            </w:r>
          </w:p>
        </w:tc>
        <w:tc>
          <w:tcPr>
            <w:tcW w:type="dxa" w:w="1300"/>
          </w:tcPr>
          <w:p>
            <w:r>
              <w:t xml:space="preserve">4.11.x</w:t>
            </w:r>
          </w:p>
        </w:tc>
        <w:tc>
          <w:tcPr>
            <w:tcW w:type="dxa" w:w="5800"/>
          </w:tcPr>
          <w:p>
            <w:r>
              <w:t xml:space="preserve">Opens the target repo's real .sln (or standalone .csproj files) via MSBuildWorkspace, producing an actual compiled Compilation per project — the same one a real build would produce. DependencyGraphBuilder.cs uses this to resolve every type/member reference to its declaring symbol and map it back to a file, giving a real symbol-level dependency graph instead of the string/module-name matching the Python ast path uses.</w:t>
            </w:r>
          </w:p>
        </w:tc>
        <w:tc>
          <w:tcPr>
            <w:tcW w:type="dxa" w:w="1200"/>
          </w:tcPr>
          <w:p>
            <w:r>
              <w:t xml:space="preserve">.NET / NuGet (Roslyn)</w:t>
            </w:r>
          </w:p>
        </w:tc>
      </w:tr>
    </w:tbl>
    <w:p>
      <w:pPr>
        <w:pStyle w:val="Heading1"/>
        <w:spacing w:after="150" w:before="300"/>
      </w:pPr>
      <w:r>
        <w:t xml:space="preserve">Backend — TypeScript / JavaScript / React / Angular analyzer</w:t>
      </w:r>
    </w:p>
    <w:p>
      <w:pPr>
        <w:spacing w:after="120"/>
      </w:pPr>
      <w:r>
        <w:t xml:space="preserve">When the analyzed codebase is auto-detected (or explicitly chosen) as TypeScript, code analysis is delegated to a small bundled Node.js tool at backend/ts_tools/CodeMetrics, shelled out to by code_analyzers/typescript_analyzer.py. It analyzes .ts/.tsx AND plain .js/.jsx — the TypeScript compiler parses JavaScript natively, so every check (complexity, design smells, the four front-end-practice checks below, security, the dependency graph) works on both with no separate code path. Two checks specifically don't apply to plain JS: any_usage_count and non_strict_typescript are always 0/false for a .js/.jsx file, since 'strict type checking' isn't a concept untyped JS has — an honest 'not applicable', not a bug. Unlike the .NET path, every check here is purely syntactic per file using the real compiler's parser, so there's no project-wide resolution step and no equivalent to the .NET path's 'legacy project' failure mode: a file that fails to parse is just skipped and logged. Node.js is already required for this app's own frontend dev workflow, so — unlike the .NET SDK — there's no new host-machine dependency; only the bundled tool's own npm package installs itself, automatically, the first time it's used.</w:t>
      </w:r>
    </w:p>
    <w:p>
      <w:pPr>
        <w:spacing w:after="120"/>
      </w:pPr>
      <w:r>
        <w:t xml:space="preserve">React vs. Angular vs. generic TypeScript/JavaScript is auto-detected per repo (an angular.json anywhere means Angular; a react/react-dom dependency in any package.json, or any .tsx/.jsx file, means React) and reported back for display, but doesn't change which checks run — every check applies to all three, since a React '*Props' interface and an Angular @Input()-decorated class are just two syntactic shapes of the same underlying concern. The package.json/tsconfig.json/angular.json lookups search the whole repo tree, not just its root, since in a repo that bundles a backend with a separate frontend folder (see 'Mixed-language repos' below) that's where the real project markers actually live.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Node.js</w:t>
            </w:r>
          </w:p>
        </w:tc>
        <w:tc>
          <w:tcPr>
            <w:tcW w:type="dxa" w:w="1300"/>
          </w:tcPr>
          <w:p>
            <w:r>
              <w:t xml:space="preserve">18+</w:t>
            </w:r>
          </w:p>
        </w:tc>
        <w:tc>
          <w:tcPr>
            <w:tcW w:type="dxa" w:w="5800"/>
          </w:tcPr>
          <w:p>
            <w:r>
              <w:t xml:space="preserve">Needed on the host machine to run the bundled CodeMetrics tool (a plain Node.js script — no compile step, unlike the C# tool). Already a hard requirement for this app's own frontend dev workflow (npm run dev / npm run build), so this isn't a new install for anyone already running the app from source.</w:t>
            </w:r>
          </w:p>
        </w:tc>
        <w:tc>
          <w:tcPr>
            <w:tcW w:type="dxa" w:w="1200"/>
          </w:tcPr>
          <w:p>
            <w:r>
              <w:t xml:space="preserve">External system tool</w:t>
            </w:r>
          </w:p>
        </w:tc>
      </w:tr>
      <w:tr>
        <w:tc>
          <w:tcPr>
            <w:tcW w:type="dxa" w:w="2200"/>
          </w:tcPr>
          <w:p>
            <w:r>
              <w:t xml:space="preserve">typescript</w:t>
            </w:r>
          </w:p>
        </w:tc>
        <w:tc>
          <w:tcPr>
            <w:tcW w:type="dxa" w:w="1300"/>
          </w:tcPr>
          <w:p>
            <w:r>
              <w:t xml:space="preserve">5.7.x</w:t>
            </w:r>
          </w:p>
        </w:tc>
        <w:tc>
          <w:tcPr>
            <w:tcW w:type="dxa" w:w="5800"/>
          </w:tcPr>
          <w:p>
            <w:r>
              <w:t xml:space="preserve">The real TypeScript compiler's parser (ts.createSourceFile, with the script kind — TS/TSX/JS/JSX — picked per file extension) and syntax-kind constants — the only dependency of the bundled tool. Used purely for parsing/AST access, not project-wide type-checking, which is why the tool never needs a working tsconfig path/project-reference setup to run, and why it parses plain JavaScript just as well as TypeScript.</w:t>
            </w:r>
          </w:p>
        </w:tc>
        <w:tc>
          <w:tcPr>
            <w:tcW w:type="dxa" w:w="1200"/>
          </w:tcPr>
          <w:p>
            <w:r>
              <w:t xml:space="preserve">Node / npm</w:t>
            </w:r>
          </w:p>
        </w:tc>
      </w:tr>
      <w:tr>
        <w:tc>
          <w:tcPr>
            <w:tcW w:type="dxa" w:w="2200"/>
          </w:tcPr>
          <w:p>
            <w:r>
              <w:t xml:space="preserve">complexity.js</w:t>
            </w:r>
          </w:p>
        </w:tc>
        <w:tc>
          <w:tcPr>
            <w:tcW w:type="dxa" w:w="1300"/>
          </w:tcPr>
          <w:p>
            <w:r>
              <w:t xml:space="preserve">internal</w:t>
            </w:r>
          </w:p>
        </w:tc>
        <w:tc>
          <w:tcPr>
            <w:tcW w:type="dxa" w:w="5800"/>
          </w:tcPr>
          <w:p>
            <w:r>
              <w:t xml:space="preserve">Computes loc/sloc, per-function cyclomatic complexity, a Halstead-volume-based maintainability index, long-function/deep-nesting/many-params/god-file design smells, a duplicate-detection token hash per function, exported-function/class count (TypeScript's real visibility unit), and long if/switch chains — the same signals radon+ast (Python) and Roslyn (.NET) compute, ported to the TS AST.</w:t>
            </w:r>
          </w:p>
        </w:tc>
        <w:tc>
          <w:tcPr>
            <w:tcW w:type="dxa" w:w="1200"/>
          </w:tcPr>
          <w:p>
            <w:r>
              <w:t xml:space="preserve">Node / internal module</w:t>
            </w:r>
          </w:p>
        </w:tc>
      </w:tr>
      <w:tr>
        <w:tc>
          <w:tcPr>
            <w:tcW w:type="dxa" w:w="2200"/>
          </w:tcPr>
          <w:p>
            <w:r>
              <w:t xml:space="preserve">security.js</w:t>
            </w:r>
          </w:p>
        </w:tc>
        <w:tc>
          <w:tcPr>
            <w:tcW w:type="dxa" w:w="1300"/>
          </w:tcPr>
          <w:p>
            <w:r>
              <w:t xml:space="preserve">internal</w:t>
            </w:r>
          </w:p>
        </w:tc>
        <w:tc>
          <w:tcPr>
            <w:tcW w:type="dxa" w:w="5800"/>
          </w:tcPr>
          <w:p>
            <w:r>
              <w:t xml:space="preserve">Lightweight syntactic security checks — the TS counterpart to bandit and the .NET SecurityScanner, but pattern-based rather than semantic (no type checker needed): eval()/new Function(), React's dangerouslySetInnerHTML and direct .innerHTML/.outerHTML assignment (XSS), Angular DomSanitizer.bypassSecurityTrust*() calls, and hardcoded-secret-shaped variable assignments.</w:t>
            </w:r>
          </w:p>
        </w:tc>
        <w:tc>
          <w:tcPr>
            <w:tcW w:type="dxa" w:w="1200"/>
          </w:tcPr>
          <w:p>
            <w:r>
              <w:t xml:space="preserve">Node / internal module</w:t>
            </w:r>
          </w:p>
        </w:tc>
      </w:tr>
      <w:tr>
        <w:tc>
          <w:tcPr>
            <w:tcW w:type="dxa" w:w="2200"/>
          </w:tcPr>
          <w:p>
            <w:r>
              <w:t xml:space="preserve">frontendChecks.js</w:t>
            </w:r>
          </w:p>
        </w:tc>
        <w:tc>
          <w:tcPr>
            <w:tcW w:type="dxa" w:w="1300"/>
          </w:tcPr>
          <w:p>
            <w:r>
              <w:t xml:space="preserve">internal</w:t>
            </w:r>
          </w:p>
        </w:tc>
        <w:tc>
          <w:tcPr>
            <w:tcW w:type="dxa" w:w="5800"/>
          </w:tcPr>
          <w:p>
            <w:r>
              <w:t xml:space="preserve">The four checks grounded directly in the team's attached Front End Design Practices document: any_usage_count ('avoid using any'), non_strict_typescript (does tsconfig.json have strict mode on — a repo-wide fact applied to every file in it), static_utility_class_count ('favor pure functions over sprawling static utility classes'), and many_boolean_props_count (a React '*Props' interface or Angular component with more than 4 boolean flags — 'control inversion via slotting' made concrete).</w:t>
            </w:r>
          </w:p>
        </w:tc>
        <w:tc>
          <w:tcPr>
            <w:tcW w:type="dxa" w:w="1200"/>
          </w:tcPr>
          <w:p>
            <w:r>
              <w:t xml:space="preserve">Node / internal module</w:t>
            </w:r>
          </w:p>
        </w:tc>
      </w:tr>
      <w:tr>
        <w:tc>
          <w:tcPr>
            <w:tcW w:type="dxa" w:w="2200"/>
          </w:tcPr>
          <w:p>
            <w:r>
              <w:t xml:space="preserve">dependencyGraph.js</w:t>
            </w:r>
          </w:p>
        </w:tc>
        <w:tc>
          <w:tcPr>
            <w:tcW w:type="dxa" w:w="1300"/>
          </w:tcPr>
          <w:p>
            <w:r>
              <w:t xml:space="preserve">internal</w:t>
            </w:r>
          </w:p>
        </w:tc>
        <w:tc>
          <w:tcPr>
            <w:tcW w:type="dxa" w:w="5800"/>
          </w:tcPr>
          <w:p>
            <w:r>
              <w:t xml:space="preserve">Resolves relative imports (./foo, ../bar, dynamic import()) to real files already found in the same analysis, trying .ts/.tsx/.js/.jsx and /index variants of each — the same in-repo-only scope Python's ast-based graph uses. No module resolution or type checker needed since only relative-path imports are followed.</w:t>
            </w:r>
          </w:p>
        </w:tc>
        <w:tc>
          <w:tcPr>
            <w:tcW w:type="dxa" w:w="1200"/>
          </w:tcPr>
          <w:p>
            <w:r>
              <w:t xml:space="preserve">Node / internal module</w:t>
            </w:r>
          </w:p>
        </w:tc>
      </w:tr>
    </w:tbl>
    <w:p>
      <w:pPr>
        <w:spacing w:after="120"/>
      </w:pPr>
      <w:r>
        <w:t xml:space="preserve">Everything architecturally deeper than these four checks — container/presentational quality, hooks vs. HOCs, compound components, the Facade pattern, Signals adoption, DI tokens, functional vs. class-based interceptors/guards — is deliberately left out of the deterministic score, the same reasoning that already keeps DIP/LSP/ISP out of the Python/.NET score: it needs real judgment, not a heuristic that would be unreliable across arbitrary code. Instead, the full text of the design-practices document is embedded as a constant (FRONTEND_DESIGN_PRACTICES in Dashboard.jsx) and appended to the AI's system prompt whenever "Get recommendations" is used on a .ts/.tsx file — so that critique is checked against the team's own stated practices, not generic training-data React/Angular advice.</w:t>
      </w:r>
    </w:p>
    <w:p>
      <w:pPr>
        <w:pStyle w:val="Heading1"/>
        <w:spacing w:after="150" w:before="300"/>
      </w:pPr>
      <w:r>
        <w:t xml:space="preserve">Backend — Knowledge base / RAG</w:t>
      </w:r>
    </w:p>
    <w:p>
      <w:pPr>
        <w:spacing w:after="120"/>
      </w:pPr>
      <w:r>
        <w:t xml:space="preserve">knowledge_base.py lets the team upload arbitrary technical documents — coding standards, architecture docs, security guidelines, runbooks — into a searchable library that grounds the AI's Ask-tab answers and file recommendations, the same way Jira/Confluence context and the front-end design-practices document already do, but for anything the team wants to upload rather than one hardcoded file. Every stored chunk carries a transparent, computed retrieval-confidence score, and a feedback loop lets the team demote sources that turn out not to be useful.</w:t>
      </w:r>
    </w:p>
    <w:p>
      <w:pPr>
        <w:spacing w:after="120"/>
      </w:pPr>
      <w:r>
        <w:t xml:space="preserve">Vector storage is a plain SQLite table (in the same app.db as settings and chat feedback) with each chunk's embedding stored as a BLOB, scored by brute-force cosine similarity via numpy at query time — deliberately not a dedicated vector database (e.g. chromadb, faiss, lancedb). A realistic technical-document library for one team is dozens to a few hundred documents, a few thousand chunks at most, and a linear scan over a few thousand 384-dimension vectors is sub-100ms — well within the existing "just SQLite, no external services" pattern the rest of this app already follows for every other data store. If the library ever grows past the point a linear scan is fast enough, swapping in a proper ANN index (e.g. sqlite-vec) later is a contained change to search() alone — the table shape doesn't need to change.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ingest_document()</w:t>
            </w:r>
          </w:p>
        </w:tc>
        <w:tc>
          <w:tcPr>
            <w:tcW w:type="dxa" w:w="1300"/>
          </w:tcPr>
          <w:p>
            <w:r>
              <w:t xml:space="preserve">internal</w:t>
            </w:r>
          </w:p>
        </w:tc>
        <w:tc>
          <w:tcPr>
            <w:tcW w:type="dxa" w:w="5800"/>
          </w:tcPr>
          <w:p>
            <w:r>
              <w:t xml:space="preserve">Extracts text (pypdf per-page for .pdf, python-docx per-paragraph for .docx, direct read for .md/.txt), splits it into ~1000-character chunks with ~150-character overlap (chunked within each page for PDFs so page numbers stay accurate for citations), embeds every chunk in a batch via fastembed, and writes the document/chunk rows to kb_documents/kb_chunks. Runs on a background thread per upload, same threading pattern as the existing analysis job, so an upload response returns immediately with status "processing".</w:t>
            </w:r>
          </w:p>
        </w:tc>
        <w:tc>
          <w:tcPr>
            <w:tcW w:type="dxa" w:w="1200"/>
          </w:tcPr>
          <w:p>
            <w:r>
              <w:t xml:space="preserve">Python / internal module</w:t>
            </w:r>
          </w:p>
        </w:tc>
      </w:tr>
      <w:tr>
        <w:tc>
          <w:tcPr>
            <w:tcW w:type="dxa" w:w="2200"/>
          </w:tcPr>
          <w:p>
            <w:r>
              <w:t xml:space="preserve">search()</w:t>
            </w:r>
          </w:p>
        </w:tc>
        <w:tc>
          <w:tcPr>
            <w:tcW w:type="dxa" w:w="1300"/>
          </w:tcPr>
          <w:p>
            <w:r>
              <w:t xml:space="preserve">internal</w:t>
            </w:r>
          </w:p>
        </w:tc>
        <w:tc>
          <w:tcPr>
            <w:tcW w:type="dxa" w:w="5800"/>
          </w:tcPr>
          <w:p>
            <w:r>
              <w:t xml:space="preserve">Embeds the query, scores every stored chunk by similarity x trust_multiplier (effective_score), and returns the top K with both numbers exposed separately — so "how well did the library match" (raw similarity, bucketed High &gt;= 0.70 / Medium &gt;= 0.45 / Low below that) is never conflated with "how much the team's feedback adjusts that match".</w:t>
            </w:r>
          </w:p>
        </w:tc>
        <w:tc>
          <w:tcPr>
            <w:tcW w:type="dxa" w:w="1200"/>
          </w:tcPr>
          <w:p>
            <w:r>
              <w:t xml:space="preserve">Python / internal module</w:t>
            </w:r>
          </w:p>
        </w:tc>
      </w:tr>
      <w:tr>
        <w:tc>
          <w:tcPr>
            <w:tcW w:type="dxa" w:w="2200"/>
          </w:tcPr>
          <w:p>
            <w:r>
              <w:t xml:space="preserve">record_feedback() / trust multiplier</w:t>
            </w:r>
          </w:p>
        </w:tc>
        <w:tc>
          <w:tcPr>
            <w:tcW w:type="dxa" w:w="1300"/>
          </w:tcPr>
          <w:p>
            <w:r>
              <w:t xml:space="preserve">internal</w:t>
            </w:r>
          </w:p>
        </w:tc>
        <w:tc>
          <w:tcPr>
            <w:tcW w:type="dxa" w:w="5800"/>
          </w:tcPr>
          <w:p>
            <w:r>
              <w:t xml:space="preserve">Each thumbs up/down on a cited chunk is appended to a kb_feedback_events log (chunk_id, vote, query, timestamp) rather than just an aggregated counter, so the raw history stays inspectable. The trust multiplier is recomputed at query time from that log as a Laplace-smoothed 0.6 + 0.8 x (ups+1)/(ups+downs+2), ranging roughly 0.6x-1.4x: sustained downvotes measurably demote a chunk without ever fully zeroing it out, since the same content could still be the best match for a differently-phrased question. This is deliberately described as feedback-weighted retrieval ranking, not reinforcement learning — no model weights are ever updated, exactly the same honest distinction this app's README already draws for the chat thumbs-up/down loop (in-context conditioning, not gradient-based RL).</w:t>
            </w:r>
          </w:p>
        </w:tc>
        <w:tc>
          <w:tcPr>
            <w:tcW w:type="dxa" w:w="1200"/>
          </w:tcPr>
          <w:p>
            <w:r>
              <w:t xml:space="preserve">Python / internal module</w:t>
            </w:r>
          </w:p>
        </w:tc>
      </w:tr>
      <w:tr>
        <w:tc>
          <w:tcPr>
            <w:tcW w:type="dxa" w:w="2200"/>
          </w:tcPr>
          <w:p>
            <w:r>
              <w:t xml:space="preserve">list_documents() / delete_document()</w:t>
            </w:r>
          </w:p>
        </w:tc>
        <w:tc>
          <w:tcPr>
            <w:tcW w:type="dxa" w:w="1300"/>
          </w:tcPr>
          <w:p>
            <w:r>
              <w:t xml:space="preserve">internal</w:t>
            </w:r>
          </w:p>
        </w:tc>
        <w:tc>
          <w:tcPr>
            <w:tcW w:type="dxa" w:w="5800"/>
          </w:tcPr>
          <w:p>
            <w:r>
              <w:t xml:space="preserve">Management support for the Admin panel's Knowledge Base card — delete cascades to a document's chunks, their feedback events, and the raw uploaded file on disk. delete_document() refuses (no-ops) for a built-in seed document, see below.</w:t>
            </w:r>
          </w:p>
        </w:tc>
        <w:tc>
          <w:tcPr>
            <w:tcW w:type="dxa" w:w="1200"/>
          </w:tcPr>
          <w:p>
            <w:r>
              <w:t xml:space="preserve">Python / internal module</w:t>
            </w:r>
          </w:p>
        </w:tc>
      </w:tr>
      <w:tr>
        <w:tc>
          <w:tcPr>
            <w:tcW w:type="dxa" w:w="2200"/>
          </w:tcPr>
          <w:p>
            <w:r>
              <w:t xml:space="preserve">ensure_builtin_seed_documents()</w:t>
            </w:r>
          </w:p>
        </w:tc>
        <w:tc>
          <w:tcPr>
            <w:tcW w:type="dxa" w:w="1300"/>
          </w:tcPr>
          <w:p>
            <w:r>
              <w:t xml:space="preserve">internal</w:t>
            </w:r>
          </w:p>
        </w:tc>
        <w:tc>
          <w:tcPr>
            <w:tcW w:type="dxa" w:w="5800"/>
          </w:tcPr>
          <w:p>
            <w:r>
              <w:t xml:space="preserve">Ingests three bundled, original reference documents (backend/knowledge_seed/*.md) through this same pipeline on first server start — SOLID Principles, Common Design Patterns, and Microservices Architecture Best Practices — each citing its real canonical source by name (Robert C. Martin, the Gang of Four, Martin Fowler, Sam Newman, etc.) without reproducing their text. Marked is_builtin in kb_documents so recommendations always have real industry-standard material to retrieve and cite, even before a team uploads anything of its own. Idempotent (checked by filename on every startup) and immune to accidental deletion through the same endpoint used for uploads.</w:t>
            </w:r>
          </w:p>
        </w:tc>
        <w:tc>
          <w:tcPr>
            <w:tcW w:type="dxa" w:w="1200"/>
          </w:tcPr>
          <w:p>
            <w:r>
              <w:t xml:space="preserve">Python / internal module</w:t>
            </w:r>
          </w:p>
        </w:tc>
      </w:tr>
    </w:tbl>
    <w:p>
      <w:pPr>
        <w:pStyle w:val="Heading1"/>
        <w:spacing w:after="150" w:before="300"/>
      </w:pPr>
      <w:r>
        <w:t xml:space="preserve">Frontend — npm / JavaScript</w:t>
      </w:r>
    </w:p>
    <w:p>
      <w:pPr>
        <w:spacing w:after="120"/>
      </w:pPr>
      <w:r>
        <w:t xml:space="preserve">Installed via npm install; bundled into static files by Vite and served by the Python backend, so end users don't need Node.js installed to run the app. No new frontend packages were added for any of this — .NET/multi-RDBMS support, the repeatable repos/databases/Jira-Confluence lists in SetupScreen.jsx, the Atlassian credentials card in AdminPanel.jsx, and the tech badges in Dashboard.jsx all reuse the icon set (lucide-react) and component patterns already in the bundle.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react / react-dom</w:t>
            </w:r>
          </w:p>
        </w:tc>
        <w:tc>
          <w:tcPr>
            <w:tcW w:type="dxa" w:w="1300"/>
          </w:tcPr>
          <w:p>
            <w:r>
              <w:t xml:space="preserve">19.2.x</w:t>
            </w:r>
          </w:p>
        </w:tc>
        <w:tc>
          <w:tcPr>
            <w:tcW w:type="dxa" w:w="5800"/>
          </w:tcPr>
          <w:p>
            <w:r>
              <w:t xml:space="preserve">The UI framework the entire dashboard is built in.</w:t>
            </w:r>
          </w:p>
        </w:tc>
        <w:tc>
          <w:tcPr>
            <w:tcW w:type="dxa" w:w="1200"/>
          </w:tcPr>
          <w:p>
            <w:r>
              <w:t xml:space="preserve">npm</w:t>
            </w:r>
          </w:p>
        </w:tc>
      </w:tr>
      <w:tr>
        <w:tc>
          <w:tcPr>
            <w:tcW w:type="dxa" w:w="2200"/>
          </w:tcPr>
          <w:p>
            <w:r>
              <w:t xml:space="preserve">vite</w:t>
            </w:r>
          </w:p>
        </w:tc>
        <w:tc>
          <w:tcPr>
            <w:tcW w:type="dxa" w:w="1300"/>
          </w:tcPr>
          <w:p>
            <w:r>
              <w:t xml:space="preserve">8.2.x</w:t>
            </w:r>
          </w:p>
        </w:tc>
        <w:tc>
          <w:tcPr>
            <w:tcW w:type="dxa" w:w="5800"/>
          </w:tcPr>
          <w:p>
            <w:r>
              <w:t xml:space="preserve">Development server and production build tool — bundles the dashboard into the static files the backend serves.</w:t>
            </w:r>
          </w:p>
        </w:tc>
        <w:tc>
          <w:tcPr>
            <w:tcW w:type="dxa" w:w="1200"/>
          </w:tcPr>
          <w:p>
            <w:r>
              <w:t xml:space="preserve">npm</w:t>
            </w:r>
          </w:p>
        </w:tc>
      </w:tr>
      <w:tr>
        <w:tc>
          <w:tcPr>
            <w:tcW w:type="dxa" w:w="2200"/>
          </w:tcPr>
          <w:p>
            <w:r>
              <w:t xml:space="preserve">@vitejs/plugin-react</w:t>
            </w:r>
          </w:p>
        </w:tc>
        <w:tc>
          <w:tcPr>
            <w:tcW w:type="dxa" w:w="1300"/>
          </w:tcPr>
          <w:p>
            <w:r>
              <w:t xml:space="preserve">6.1.x</w:t>
            </w:r>
          </w:p>
        </w:tc>
        <w:tc>
          <w:tcPr>
            <w:tcW w:type="dxa" w:w="5800"/>
          </w:tcPr>
          <w:p>
            <w:r>
              <w:t xml:space="preserve">Lets Vite understand and compile JSX/React syntax.</w:t>
            </w:r>
          </w:p>
        </w:tc>
        <w:tc>
          <w:tcPr>
            <w:tcW w:type="dxa" w:w="1200"/>
          </w:tcPr>
          <w:p>
            <w:r>
              <w:t xml:space="preserve">npm</w:t>
            </w:r>
          </w:p>
        </w:tc>
      </w:tr>
      <w:tr>
        <w:tc>
          <w:tcPr>
            <w:tcW w:type="dxa" w:w="2200"/>
          </w:tcPr>
          <w:p>
            <w:r>
              <w:t xml:space="preserve">recharts</w:t>
            </w:r>
          </w:p>
        </w:tc>
        <w:tc>
          <w:tcPr>
            <w:tcW w:type="dxa" w:w="1300"/>
          </w:tcPr>
          <w:p>
            <w:r>
              <w:t xml:space="preserve">3.10.x</w:t>
            </w:r>
          </w:p>
        </w:tc>
        <w:tc>
          <w:tcPr>
            <w:tcW w:type="dxa" w:w="5800"/>
          </w:tcPr>
          <w:p>
            <w:r>
              <w:t xml:space="preserve">Renders the treemap heatmaps (code and database debt views), including the directory-grouped nested layout.</w:t>
            </w:r>
          </w:p>
        </w:tc>
        <w:tc>
          <w:tcPr>
            <w:tcW w:type="dxa" w:w="1200"/>
          </w:tcPr>
          <w:p>
            <w:r>
              <w:t xml:space="preserve">npm</w:t>
            </w:r>
          </w:p>
        </w:tc>
      </w:tr>
      <w:tr>
        <w:tc>
          <w:tcPr>
            <w:tcW w:type="dxa" w:w="2200"/>
          </w:tcPr>
          <w:p>
            <w:r>
              <w:t xml:space="preserve">d3</w:t>
            </w:r>
          </w:p>
        </w:tc>
        <w:tc>
          <w:tcPr>
            <w:tcW w:type="dxa" w:w="1300"/>
          </w:tcPr>
          <w:p>
            <w:r>
              <w:t xml:space="preserve">7.9.x</w:t>
            </w:r>
          </w:p>
        </w:tc>
        <w:tc>
          <w:tcPr>
            <w:tcW w:type="dxa" w:w="5800"/>
          </w:tcPr>
          <w:p>
            <w:r>
              <w:t xml:space="preserve">Powers the interactive dependency graph — force-directed layout, zoom, pan, and drag behavior for the code/database/combined graphs.</w:t>
            </w:r>
          </w:p>
        </w:tc>
        <w:tc>
          <w:tcPr>
            <w:tcW w:type="dxa" w:w="1200"/>
          </w:tcPr>
          <w:p>
            <w:r>
              <w:t xml:space="preserve">npm</w:t>
            </w:r>
          </w:p>
        </w:tc>
      </w:tr>
      <w:tr>
        <w:tc>
          <w:tcPr>
            <w:tcW w:type="dxa" w:w="2200"/>
          </w:tcPr>
          <w:p>
            <w:r>
              <w:t xml:space="preserve">lucide-react</w:t>
            </w:r>
          </w:p>
        </w:tc>
        <w:tc>
          <w:tcPr>
            <w:tcW w:type="dxa" w:w="1300"/>
          </w:tcPr>
          <w:p>
            <w:r>
              <w:t xml:space="preserve">1.40.x</w:t>
            </w:r>
          </w:p>
        </w:tc>
        <w:tc>
          <w:tcPr>
            <w:tcW w:type="dxa" w:w="5800"/>
          </w:tcPr>
          <w:p>
            <w:r>
              <w:t xml:space="preserve">Icon set used throughout the UI (nav icons, info icons, buttons, and the Auto-detect/Python/.NET and DB-dialect toggle icons in Setup).</w:t>
            </w:r>
          </w:p>
        </w:tc>
        <w:tc>
          <w:tcPr>
            <w:tcW w:type="dxa" w:w="1200"/>
          </w:tcPr>
          <w:p>
            <w:r>
              <w:t xml:space="preserve">npm</w:t>
            </w:r>
          </w:p>
        </w:tc>
      </w:tr>
      <w:tr>
        <w:tc>
          <w:tcPr>
            <w:tcW w:type="dxa" w:w="2200"/>
          </w:tcPr>
          <w:p>
            <w:r>
              <w:t xml:space="preserve">react-markdown</w:t>
            </w:r>
          </w:p>
        </w:tc>
        <w:tc>
          <w:tcPr>
            <w:tcW w:type="dxa" w:w="1300"/>
          </w:tcPr>
          <w:p>
            <w:r>
              <w:t xml:space="preserve">10.1.x</w:t>
            </w:r>
          </w:p>
        </w:tc>
        <w:tc>
          <w:tcPr>
            <w:tcW w:type="dxa" w:w="5800"/>
          </w:tcPr>
          <w:p>
            <w:r>
              <w:t xml:space="preserve">Renders the AI's chat answers and recommendations as formatted markdown (headings, lists, tables) instead of raw text.</w:t>
            </w:r>
          </w:p>
        </w:tc>
        <w:tc>
          <w:tcPr>
            <w:tcW w:type="dxa" w:w="1200"/>
          </w:tcPr>
          <w:p>
            <w:r>
              <w:t xml:space="preserve">npm</w:t>
            </w:r>
          </w:p>
        </w:tc>
      </w:tr>
      <w:tr>
        <w:tc>
          <w:tcPr>
            <w:tcW w:type="dxa" w:w="2200"/>
          </w:tcPr>
          <w:p>
            <w:r>
              <w:t xml:space="preserve">remark-gfm</w:t>
            </w:r>
          </w:p>
        </w:tc>
        <w:tc>
          <w:tcPr>
            <w:tcW w:type="dxa" w:w="1300"/>
          </w:tcPr>
          <w:p>
            <w:r>
              <w:t xml:space="preserve">4.0.x</w:t>
            </w:r>
          </w:p>
        </w:tc>
        <w:tc>
          <w:tcPr>
            <w:tcW w:type="dxa" w:w="5800"/>
          </w:tcPr>
          <w:p>
            <w:r>
              <w:t xml:space="preserve">Adds GitHub-flavored markdown support (tables, strikethrough) to react-markdown.</w:t>
            </w:r>
          </w:p>
        </w:tc>
        <w:tc>
          <w:tcPr>
            <w:tcW w:type="dxa" w:w="1200"/>
          </w:tcPr>
          <w:p>
            <w:r>
              <w:t xml:space="preserve">npm</w:t>
            </w:r>
          </w:p>
        </w:tc>
      </w:tr>
    </w:tbl>
    <w:p>
      <w:pPr>
        <w:pStyle w:val="Heading1"/>
        <w:spacing w:after="150" w:before="300"/>
      </w:pPr>
      <w:r>
        <w:t xml:space="preserve">External systems and services</w:t>
      </w:r>
    </w:p>
    <w:p>
      <w:pPr>
        <w:spacing w:after="120"/>
      </w:pPr>
      <w:r>
        <w:t xml:space="preserve">Not installed as part of this app — these are what it connects to.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00"/>
        <w:gridCol w:w="1200"/>
      </w:tblGrid>
      <w:tr>
        <w:trPr>
          <w:cantSplit/>
          <w:tblHeader/>
        </w:trPr>
        <w:tc>
          <w:tcPr>
            <w:tcW w:type="dxa" w:w="2200"/>
            <w:shd w:fill="0EA5E9" w:color="auto" w:val="clear"/>
          </w:tcPr>
          <w:p>
            <w:r>
              <w:rPr>
                <w:b/>
                <w:bCs/>
                <w:color w:val="FFFFFF"/>
              </w:rPr>
              <w:t xml:space="preserve">Component</w:t>
            </w:r>
          </w:p>
        </w:tc>
        <w:tc>
          <w:tcPr>
            <w:tcW w:type="dxa" w:w="1300"/>
            <w:shd w:fill="0EA5E9" w:color="auto" w:val="clear"/>
          </w:tcPr>
          <w:p>
            <w:r>
              <w:rPr>
                <w:b/>
                <w:bCs/>
                <w:color w:val="FFFFFF"/>
              </w:rPr>
              <w:t xml:space="preserve">Version</w:t>
            </w:r>
          </w:p>
        </w:tc>
        <w:tc>
          <w:tcPr>
            <w:tcW w:type="dxa" w:w="5800"/>
            <w:shd w:fill="0EA5E9" w:color="auto" w:val="clear"/>
          </w:tcPr>
          <w:p>
            <w:r>
              <w:rPr>
                <w:b/>
                <w:bCs/>
                <w:color w:val="FFFFFF"/>
              </w:rPr>
              <w:t xml:space="preserve">Purpose in this app</w:t>
            </w:r>
          </w:p>
        </w:tc>
        <w:tc>
          <w:tcPr>
            <w:tcW w:type="dxa" w:w="1200"/>
            <w:shd w:fill="0EA5E9" w:color="auto" w:val="clear"/>
          </w:tcPr>
          <w:p>
            <w:r>
              <w:rPr>
                <w:b/>
                <w:bCs/>
                <w:color w:val="FFFFFF"/>
              </w:rPr>
              <w:t xml:space="preserve">Type</w:t>
            </w:r>
          </w:p>
        </w:tc>
      </w:tr>
      <w:tr>
        <w:tc>
          <w:tcPr>
            <w:tcW w:type="dxa" w:w="2200"/>
          </w:tcPr>
          <w:p>
            <w:r>
              <w:t xml:space="preserve">PostgreSQL</w:t>
            </w:r>
          </w:p>
        </w:tc>
        <w:tc>
          <w:tcPr>
            <w:tcW w:type="dxa" w:w="1300"/>
          </w:tcPr>
          <w:p>
            <w:r>
              <w:t xml:space="preserve">any recent</w:t>
            </w:r>
          </w:p>
        </w:tc>
        <w:tc>
          <w:tcPr>
            <w:tcW w:type="dxa" w:w="5800"/>
          </w:tcPr>
          <w:p>
            <w:r>
              <w:t xml:space="preserve">One of three supported RDBMS for live connections and .sql schema files — the original and most fully-featured (its dialect_extras.py path adds live row/size estimates via pg_class and PUBLIC-grant checks via information_schema).</w:t>
            </w:r>
          </w:p>
        </w:tc>
        <w:tc>
          <w:tcPr>
            <w:tcW w:type="dxa" w:w="1200"/>
          </w:tcPr>
          <w:p>
            <w:r>
              <w:t xml:space="preserve">External system</w:t>
            </w:r>
          </w:p>
        </w:tc>
      </w:tr>
      <w:tr>
        <w:tc>
          <w:tcPr>
            <w:tcW w:type="dxa" w:w="2200"/>
          </w:tcPr>
          <w:p>
            <w:r>
              <w:t xml:space="preserve">MySQL / MariaDB</w:t>
            </w:r>
          </w:p>
        </w:tc>
        <w:tc>
          <w:tcPr>
            <w:tcW w:type="dxa" w:w="1300"/>
          </w:tcPr>
          <w:p>
            <w:r>
              <w:t xml:space="preserve">any recent</w:t>
            </w:r>
          </w:p>
        </w:tc>
        <w:tc>
          <w:tcPr>
            <w:tcW w:type="dxa" w:w="5800"/>
          </w:tcPr>
          <w:p>
            <w:r>
              <w:t xml:space="preserve">A second supported RDBMS for live connections (mysql+pymysql://...) and .sql schema files. Its "broad write grant" signal is an approximation — MySQL has no literal PUBLIC role, so a wildcard-host ('user'@'%') grant is used as the closest equivalent.</w:t>
            </w:r>
          </w:p>
        </w:tc>
        <w:tc>
          <w:tcPr>
            <w:tcW w:type="dxa" w:w="1200"/>
          </w:tcPr>
          <w:p>
            <w:r>
              <w:t xml:space="preserve">External system</w:t>
            </w:r>
          </w:p>
        </w:tc>
      </w:tr>
      <w:tr>
        <w:tc>
          <w:tcPr>
            <w:tcW w:type="dxa" w:w="2200"/>
          </w:tcPr>
          <w:p>
            <w:r>
              <w:t xml:space="preserve">SQL Server</w:t>
            </w:r>
          </w:p>
        </w:tc>
        <w:tc>
          <w:tcPr>
            <w:tcW w:type="dxa" w:w="1300"/>
          </w:tcPr>
          <w:p>
            <w:r>
              <w:t xml:space="preserve">any recent</w:t>
            </w:r>
          </w:p>
        </w:tc>
        <w:tc>
          <w:tcPr>
            <w:tcW w:type="dxa" w:w="5800"/>
          </w:tcPr>
          <w:p>
            <w:r>
              <w:t xml:space="preserve">A third supported RDBMS for live connections (mssql+pyodbc://...) and .sql schema files. Needs an ODBC Driver (17 or 18) for SQL Server installed on the host in addition to the pyodbc Python package.</w:t>
            </w:r>
          </w:p>
        </w:tc>
        <w:tc>
          <w:tcPr>
            <w:tcW w:type="dxa" w:w="1200"/>
          </w:tcPr>
          <w:p>
            <w:r>
              <w:t xml:space="preserve">External system</w:t>
            </w:r>
          </w:p>
        </w:tc>
      </w:tr>
      <w:tr>
        <w:tc>
          <w:tcPr>
            <w:tcW w:type="dxa" w:w="2200"/>
          </w:tcPr>
          <w:p>
            <w:r>
              <w:t xml:space="preserve">.NET SDK</w:t>
            </w:r>
          </w:p>
        </w:tc>
        <w:tc>
          <w:tcPr>
            <w:tcW w:type="dxa" w:w="1300"/>
          </w:tcPr>
          <w:p>
            <w:r>
              <w:t xml:space="preserve">8.0+</w:t>
            </w:r>
          </w:p>
        </w:tc>
        <w:tc>
          <w:tcPr>
            <w:tcW w:type="dxa" w:w="5800"/>
          </w:tcPr>
          <w:p>
            <w:r>
              <w:t xml:space="preserve">Required on the host machine to analyze .NET/C# codebases — not bundled, must be installed separately. The app detects and reports clearly if it's missing rather than failing silently.</w:t>
            </w:r>
          </w:p>
        </w:tc>
        <w:tc>
          <w:tcPr>
            <w:tcW w:type="dxa" w:w="1200"/>
          </w:tcPr>
          <w:p>
            <w:r>
              <w:t xml:space="preserve">External system tool</w:t>
            </w:r>
          </w:p>
        </w:tc>
      </w:tr>
      <w:tr>
        <w:tc>
          <w:tcPr>
            <w:tcW w:type="dxa" w:w="2200"/>
          </w:tcPr>
          <w:p>
            <w:r>
              <w:t xml:space="preserve">Node.js</w:t>
            </w:r>
          </w:p>
        </w:tc>
        <w:tc>
          <w:tcPr>
            <w:tcW w:type="dxa" w:w="1300"/>
          </w:tcPr>
          <w:p>
            <w:r>
              <w:t xml:space="preserve">18+</w:t>
            </w:r>
          </w:p>
        </w:tc>
        <w:tc>
          <w:tcPr>
            <w:tcW w:type="dxa" w:w="5800"/>
          </w:tcPr>
          <w:p>
            <w:r>
              <w:t xml:space="preserve">Required on the host machine to analyze TypeScript/JavaScript/React/Angular codebases (and already required to build the frontend itself). No separate install for anyone already running this app from source.</w:t>
            </w:r>
          </w:p>
        </w:tc>
        <w:tc>
          <w:tcPr>
            <w:tcW w:type="dxa" w:w="1200"/>
          </w:tcPr>
          <w:p>
            <w:r>
              <w:t xml:space="preserve">External system tool</w:t>
            </w:r>
          </w:p>
        </w:tc>
      </w:tr>
      <w:tr>
        <w:tc>
          <w:tcPr>
            <w:tcW w:type="dxa" w:w="2200"/>
          </w:tcPr>
          <w:p>
            <w:r>
              <w:t xml:space="preserve">Claude (Anthropic)</w:t>
            </w:r>
          </w:p>
        </w:tc>
        <w:tc>
          <w:tcPr>
            <w:tcW w:type="dxa" w:w="1300"/>
          </w:tcPr>
          <w:p>
            <w:r>
              <w:t xml:space="preserve">configurable</w:t>
            </w:r>
          </w:p>
        </w:tc>
        <w:tc>
          <w:tcPr>
            <w:tcW w:type="dxa" w:w="5800"/>
          </w:tcPr>
          <w:p>
            <w:r>
              <w:t xml:space="preserve">One of three selectable AI providers powering the Ask tab and on-demand recommendations.</w:t>
            </w:r>
          </w:p>
        </w:tc>
        <w:tc>
          <w:tcPr>
            <w:tcW w:type="dxa" w:w="1200"/>
          </w:tcPr>
          <w:p>
            <w:r>
              <w:t xml:space="preserve">External API</w:t>
            </w:r>
          </w:p>
        </w:tc>
      </w:tr>
      <w:tr>
        <w:tc>
          <w:tcPr>
            <w:tcW w:type="dxa" w:w="2200"/>
          </w:tcPr>
          <w:p>
            <w:r>
              <w:t xml:space="preserve">Gemini (Google)</w:t>
            </w:r>
          </w:p>
        </w:tc>
        <w:tc>
          <w:tcPr>
            <w:tcW w:type="dxa" w:w="1300"/>
          </w:tcPr>
          <w:p>
            <w:r>
              <w:t xml:space="preserve">configurable</w:t>
            </w:r>
          </w:p>
        </w:tc>
        <w:tc>
          <w:tcPr>
            <w:tcW w:type="dxa" w:w="5800"/>
          </w:tcPr>
          <w:p>
            <w:r>
              <w:t xml:space="preserve">A second selectable AI provider, called via its OpenAI-compatible endpoint.</w:t>
            </w:r>
          </w:p>
        </w:tc>
        <w:tc>
          <w:tcPr>
            <w:tcW w:type="dxa" w:w="1200"/>
          </w:tcPr>
          <w:p>
            <w:r>
              <w:t xml:space="preserve">External API</w:t>
            </w:r>
          </w:p>
        </w:tc>
      </w:tr>
      <w:tr>
        <w:tc>
          <w:tcPr>
            <w:tcW w:type="dxa" w:w="2200"/>
          </w:tcPr>
          <w:p>
            <w:r>
              <w:t xml:space="preserve">Sarvam AI</w:t>
            </w:r>
          </w:p>
        </w:tc>
        <w:tc>
          <w:tcPr>
            <w:tcW w:type="dxa" w:w="1300"/>
          </w:tcPr>
          <w:p>
            <w:r>
              <w:t xml:space="preserve">configurable</w:t>
            </w:r>
          </w:p>
        </w:tc>
        <w:tc>
          <w:tcPr>
            <w:tcW w:type="dxa" w:w="5800"/>
          </w:tcPr>
          <w:p>
            <w:r>
              <w:t xml:space="preserve">A third selectable AI provider (strong Indic-language support), called via its OpenAI-compatible endpoint.</w:t>
            </w:r>
          </w:p>
        </w:tc>
        <w:tc>
          <w:tcPr>
            <w:tcW w:type="dxa" w:w="1200"/>
          </w:tcPr>
          <w:p>
            <w:r>
              <w:t xml:space="preserve">External API</w:t>
            </w:r>
          </w:p>
        </w:tc>
      </w:tr>
      <w:tr>
        <w:tc>
          <w:tcPr>
            <w:tcW w:type="dxa" w:w="2200"/>
          </w:tcPr>
          <w:p>
            <w:r>
              <w:t xml:space="preserve">Jira Cloud</w:t>
            </w:r>
          </w:p>
        </w:tc>
        <w:tc>
          <w:tcPr>
            <w:tcW w:type="dxa" w:w="1300"/>
          </w:tcPr>
          <w:p>
            <w:r>
              <w:t xml:space="preserve">optional</w:t>
            </w:r>
          </w:p>
        </w:tc>
        <w:tc>
          <w:tcPr>
            <w:tcW w:type="dxa" w:w="5800"/>
          </w:tcPr>
          <w:p>
            <w:r>
              <w:t xml:space="preserve">Fetched by external_context.py when a Jira link is added in Setup — an issue URL pulls summary/description/status via the REST API; a project/board URL pulls recent issues. Authenticates with the same Atlassian email + API token as Confluence, set once in Admin. Best-effort: unverified against a real Atlassian site, degrades to a clear inline error rather than failing the analysis.</w:t>
            </w:r>
          </w:p>
        </w:tc>
        <w:tc>
          <w:tcPr>
            <w:tcW w:type="dxa" w:w="1200"/>
          </w:tcPr>
          <w:p>
            <w:r>
              <w:t xml:space="preserve">External API</w:t>
            </w:r>
          </w:p>
        </w:tc>
      </w:tr>
      <w:tr>
        <w:tc>
          <w:tcPr>
            <w:tcW w:type="dxa" w:w="2200"/>
          </w:tcPr>
          <w:p>
            <w:r>
              <w:t xml:space="preserve">Confluence Cloud</w:t>
            </w:r>
          </w:p>
        </w:tc>
        <w:tc>
          <w:tcPr>
            <w:tcW w:type="dxa" w:w="1300"/>
          </w:tcPr>
          <w:p>
            <w:r>
              <w:t xml:space="preserve">optional</w:t>
            </w:r>
          </w:p>
        </w:tc>
        <w:tc>
          <w:tcPr>
            <w:tcW w:type="dxa" w:w="5800"/>
          </w:tcPr>
          <w:p>
            <w:r>
              <w:t xml:space="preserve">Fetched by external_context.py when a Confluence link is added in Setup — extracts a page's plain text from its 'storage format' body. Same shared Atlassian credential as Jira. Also best-effort/unverified against a live site.</w:t>
            </w:r>
          </w:p>
        </w:tc>
        <w:tc>
          <w:tcPr>
            <w:tcW w:type="dxa" w:w="1200"/>
          </w:tcPr>
          <w:p>
            <w:r>
              <w:t xml:space="preserve">External API</w:t>
            </w:r>
          </w:p>
        </w:tc>
      </w:tr>
    </w:tbl>
    <w:p>
      <w:pPr>
        <w:pStyle w:val="Heading1"/>
        <w:spacing w:after="150" w:before="300"/>
      </w:pPr>
      <w:r>
        <w:t xml:space="preserve">How the pieces fit together</w:t>
      </w:r>
    </w:p>
    <w:p>
      <w:pPr>
        <w:pStyle w:val="Heading2"/>
        <w:spacing w:after="120" w:before="240"/>
      </w:pPr>
      <w:r>
        <w:t xml:space="preserve">Multi-repo / multi-database orchestration</w:t>
      </w:r>
    </w:p>
    <w:p>
      <w:pPr>
        <w:spacing w:after="120"/>
      </w:pPr>
      <w:r>
        <w:t xml:space="preserve">A single analyze request now carries lists — repos[], databases[], external_context[] — instead of one repo and one optional database. The new multi_source.py owns turning those lists into one combined result:</w:t>
      </w:r>
    </w:p>
    <w:p>
      <w:pPr>
        <w:pStyle w:val="ListParagraph"/>
        <w:numPr>
          <w:ilvl w:val="0"/>
          <w:numId w:val="2"/>
        </w:numPr>
      </w:pPr>
      <w:r>
        <w:t xml:space="preserve">Each repo is resolved to a filesystem path (cloned for a git_url source, used as-is for a local/network path — a UNC path like \\fileserver\share\backend needs no special handling, it's just a path) and analyzed via code_analyzers.collect_metrics(), which returns raw per-file metrics WITHOUT scoring them yet.</w:t>
      </w:r>
    </w:p>
    <w:p>
      <w:pPr>
        <w:pStyle w:val="ListParagraph"/>
        <w:numPr>
          <w:ilvl w:val="0"/>
          <w:numId w:val="2"/>
        </w:numPr>
      </w:pPr>
      <w:r>
        <w:t xml:space="preserve">multi_source.analyze_repos() merges every repo's raw metrics into one combined set, THEN calls code_analyzers/scoring.py's compute_debt_scores() exactly once across all of them together. Scoring once (not once per repo) is what makes cross-repo duplicate-code detection possible, and what makes complexity/churn/security comparable across repos of very different size — normalize() scales values relative to the whole run.</w:t>
      </w:r>
    </w:p>
    <w:p>
      <w:pPr>
        <w:pStyle w:val="ListParagraph"/>
        <w:numPr>
          <w:ilvl w:val="0"/>
          <w:numId w:val="2"/>
        </w:numPr>
      </w:pPr>
      <w:r>
        <w:t xml:space="preserve">With exactly one repo, every file id passes through unprefixed — today's single-repo output is byte-for-byte unchanged. With more than one, every id is namespaced by that repo's display name (api/app.py, worker/tasks.py) so files never collide across repos in the combined heatmap and dependency graph.</w:t>
      </w:r>
    </w:p>
    <w:p>
      <w:pPr>
        <w:pStyle w:val="ListParagraph"/>
        <w:numPr>
          <w:ilvl w:val="0"/>
          <w:numId w:val="2"/>
        </w:numPr>
      </w:pPr>
      <w:r>
        <w:t xml:space="preserve">Database sources go through the same single-vs-multi namespacing rule in multi_source.analyze_databases() (table ids become orders-db.orders when there's more than one DB source) — but without the 'score once combined' step, since db_analyzers/scoring.py's per-table formulas are already absolute (row count vs. a fixed scale), not corpus-relative, so each database can be scored independently.</w:t>
      </w:r>
    </w:p>
    <w:p>
      <w:pPr>
        <w:pStyle w:val="ListParagraph"/>
        <w:numPr>
          <w:ilvl w:val="0"/>
          <w:numId w:val="2"/>
        </w:numPr>
      </w:pPr>
      <w:r>
        <w:t xml:space="preserve">Code-to-table linking (db_analyzers.find_code_to_table_edges) matches on each table's bare name against every repo's source text, then expands matches back out to every namespaced table sharing that bare name — so a code reference to "orders" can link across repo AND database boundaries in one combined edge list.</w:t>
      </w:r>
    </w:p>
    <w:p>
      <w:pPr>
        <w:pStyle w:val="Heading2"/>
        <w:spacing w:after="120" w:before="240"/>
      </w:pPr>
      <w:r>
        <w:t xml:space="preserve">Mixed-language repos</w:t>
      </w:r>
    </w:p>
    <w:p>
      <w:pPr>
        <w:spacing w:after="120"/>
      </w:pPr>
      <w:r>
        <w:t xml:space="preserve">A single repo can itself be more than one language — the case that prompted this: a .NET backend (WebAPI/, with a .sln) alongside a separate frontend folder (react-app/) in the same repository, a common real-world layout. code_analyzers.detect_languages() (plural) replaced the original detect_language(): instead of returning the first match in priority order and stopping, it walks once and returns every language actually present — "dotnet" for any .sln/.csproj, "python" for any .py file, and "typescript" for any real .ts/.tsx file OR a package.json anywhere alongside at least one .js/.jsx file (that package.json gate matters specifically because plain .js counts now — without it, a single stray .js build script in an otherwise pure Python/.NET repo would wrongly flag the whole repo as also "TypeScript").</w:t>
      </w:r>
    </w:p>
    <w:p>
      <w:pPr>
        <w:pStyle w:val="ListParagraph"/>
        <w:numPr>
          <w:ilvl w:val="0"/>
          <w:numId w:val="2"/>
        </w:numPr>
      </w:pPr>
      <w:r>
        <w:t xml:space="preserve">multi_source.analyze_repos() runs every language's analyzer against the SAME repo path (no subfolder scoping needed — each analyzer only ever collects its own file extensions, e.g. the .NET analyzer only ever finds .cs files, so two analyzers over one root can't collide or double-count) and merges all of them into that repo's contribution before the existing cross-repo namespacing is applied.</w:t>
      </w:r>
    </w:p>
    <w:p>
      <w:pPr>
        <w:pStyle w:val="ListParagraph"/>
        <w:numPr>
          <w:ilvl w:val="0"/>
          <w:numId w:val="2"/>
        </w:numPr>
      </w:pPr>
      <w:r>
        <w:t xml:space="preserve">A repo's code_lang in the API payload is now a list (e.g. ["dotnet", "typescript"]) rather than a single string, and frameworks is a {language: framework} map — Dashboard.jsx's header badge joins them with " + " (e.g. ".NET + TypeScript (React)").</w:t>
      </w:r>
    </w:p>
    <w:p>
      <w:pPr>
        <w:pStyle w:val="ListParagraph"/>
        <w:numPr>
          <w:ilvl w:val="0"/>
          <w:numId w:val="2"/>
        </w:numPr>
      </w:pPr>
      <w:r>
        <w:t xml:space="preserve">package.json/tsconfig.json/angular.json lookups inside the TypeScript tool itself (framework detection, the strict-mode check) search the whole repo tree breadth-first rather than assuming repo root, for the same reason — the real frontend project root is a subfolder, not the repo root, in exactly this layout.</w:t>
      </w:r>
    </w:p>
    <w:p>
      <w:pPr>
        <w:pStyle w:val="Heading2"/>
        <w:spacing w:after="120" w:before="240"/>
      </w:pPr>
      <w:r>
        <w:t xml:space="preserve">Analysis pipeline</w:t>
      </w:r>
    </w:p>
    <w:p>
      <w:pPr>
        <w:spacing w:after="120"/>
      </w:pPr>
      <w:r>
        <w:t xml:space="preserve">Within one language, the same math applies as before — code_analyzers/scoring.py: normalize + the 35% complexity / 20% churn / 25% security / 20% design weighting, design now a 12-way blend (see the Debt score section) — so a Python, .NET, or TypeScript/JavaScript file all score comparably in the combined heatmap, whether they came from the same repo or different ones:</w:t>
      </w:r>
    </w:p>
    <w:p>
      <w:pPr>
        <w:pStyle w:val="ListParagraph"/>
        <w:numPr>
          <w:ilvl w:val="0"/>
          <w:numId w:val="2"/>
        </w:numPr>
      </w:pPr>
      <w:r>
        <w:t xml:space="preserve">Python — code_analyzers/python_analyzer.py: git (churn) + radon (complexity, maintainability index, raw metrics) + ast (import-dependency graph, design smells, duplicate-function hashing, public-function count, long conditional chains) + bandit (security findings, weighted by severity and confidence).</w:t>
      </w:r>
    </w:p>
    <w:p>
      <w:pPr>
        <w:pStyle w:val="ListParagraph"/>
        <w:numPr>
          <w:ilvl w:val="0"/>
          <w:numId w:val="2"/>
        </w:numPr>
      </w:pPr>
      <w:r>
        <w:t xml:space="preserve">(dotnet) — code_analyzers/dotnet_analyzer.py shells out to the bundled Roslyn tool (dotnet_tools/CodeMetrics), which computes complexity/maintainability, the same duplicate-hash/public-surface/conditional-chain signals, a real symbol-resolved dependency graph, and semantic security findings in one pass; git (churn) is then applied the same way as Python, since it's already language-agnostic.</w:t>
      </w:r>
    </w:p>
    <w:p>
      <w:pPr>
        <w:pStyle w:val="ListParagraph"/>
        <w:numPr>
          <w:ilvl w:val="0"/>
          <w:numId w:val="2"/>
        </w:numPr>
      </w:pPr>
      <w:r>
        <w:t xml:space="preserve">TypeScript/JavaScript — code_analyzers/typescript_analyzer.py shells out to the bundled Node.js tool (ts_tools/CodeMetrics), which computes the same complexity/maintainability/duplicate-hash/public-surface/conditional-chain signals plus the four front-end-design-practice checks (any usage, non-strict tsconfig, static utility classes, many-boolean-flag props/inputs — the first two always 0/false for plain .js/.jsx, which has no type syntax to check) and the syntactic security checks, all purely per-file; git (churn) is applied the same way as the other two languages.</w:t>
      </w:r>
    </w:p>
    <w:p>
      <w:pPr>
        <w:spacing w:after="120"/>
      </w:pPr>
      <w:r>
        <w:t xml:space="preserve">Database dialect is inferred from a live connection string's URL scheme (postgresql://, mysql+pymysql://, mssql+pyodbc://), or chosen explicitly in Setup for a .sql schema file (which can't self-identify a dialect). db_analyzers/__init__.py dispatches to:</w:t>
      </w:r>
    </w:p>
    <w:p>
      <w:pPr>
        <w:pStyle w:val="ListParagraph"/>
        <w:numPr>
          <w:ilvl w:val="0"/>
          <w:numId w:val="2"/>
        </w:numPr>
      </w:pPr>
      <w:r>
        <w:t xml:space="preserve">live.py — SQLAlchemy's dialect-agnostic Inspector for tables/columns/PKs/FKs/indexes, plus dialect_extras.py for the Postgres/MySQL/SQL-Server-specific row-count, size, and broad-write-grant signals that aren't available through generic reflection.</w:t>
      </w:r>
    </w:p>
    <w:p>
      <w:pPr>
        <w:pStyle w:val="ListParagraph"/>
        <w:numPr>
          <w:ilvl w:val="0"/>
          <w:numId w:val="2"/>
        </w:numPr>
      </w:pPr>
      <w:r>
        <w:t xml:space="preserve">sql_file.py — sqlglot parses the same structural signals out of a schema dump instead of a live connection (no row counts, real index usage, or grants — a lighter-weight proxy, same as before).</w:t>
      </w:r>
    </w:p>
    <w:p>
      <w:pPr>
        <w:spacing w:after="120"/>
      </w:pPr>
      <w:r>
        <w:t xml:space="preserve">Both feed db_analyzers/scoring.py's shared debt-scoring math. Finally, if any Jira/Confluence links were added, external_context.py fetches each one (best-effort, never fails the run) before everything is assembled and written:</w:t>
      </w:r>
    </w:p>
    <w:p>
      <w:pPr>
        <w:pStyle w:val="ListParagraph"/>
        <w:numPr>
          <w:ilvl w:val="0"/>
          <w:numId w:val="2"/>
        </w:numPr>
      </w:pPr>
      <w:r>
        <w:t xml:space="preserve">sqlite3 — every file, table, and dependency edge (code imports, foreign keys, code-to-table references) is written to a local database (debt_radar.db) as a queryable record of the run — write-only from the app's own perspective; the dashboard itself reads dashboard_data.json, not this database.</w:t>
      </w:r>
    </w:p>
    <w:p>
      <w:pPr>
        <w:pStyle w:val="Heading2"/>
        <w:spacing w:after="120" w:before="240"/>
      </w:pPr>
      <w:r>
        <w:t xml:space="preserve">Serving</w:t>
      </w:r>
    </w:p>
    <w:p>
      <w:pPr>
        <w:pStyle w:val="ListParagraph"/>
        <w:numPr>
          <w:ilvl w:val="0"/>
          <w:numId w:val="2"/>
        </w:numPr>
      </w:pPr>
      <w:r>
        <w:t xml:space="preserve">fastapi + uvicorn — the API the dashboard calls. /api/analyze now takes the repos[]/databases[]/external_context[] contract; /api/file-source is new — it serves real source text for the AI guidance layer below, resolved only through an in-memory map this server built during the last analysis (never a caller-supplied path, so there's no path-traversal surface).</w:t>
      </w:r>
    </w:p>
    <w:p>
      <w:pPr>
        <w:pStyle w:val="ListParagraph"/>
        <w:numPr>
          <w:ilvl w:val="0"/>
          <w:numId w:val="2"/>
        </w:numPr>
      </w:pPr>
      <w:r>
        <w:t xml:space="preserve">vite build output, served as static files by fastapi's StaticFiles — the dashboard itself.</w:t>
      </w:r>
    </w:p>
    <w:p>
      <w:pPr>
        <w:pStyle w:val="Heading2"/>
        <w:spacing w:after="120" w:before="240"/>
      </w:pPr>
      <w:r>
        <w:t xml:space="preserve">AI guidance layer</w:t>
      </w:r>
    </w:p>
    <w:p>
      <w:pPr>
        <w:pStyle w:val="ListParagraph"/>
        <w:numPr>
          <w:ilvl w:val="0"/>
          <w:numId w:val="2"/>
        </w:numPr>
      </w:pPr>
      <w:r>
        <w:t xml:space="preserve">anthropic or openai (for Gemini/Sarvam) — whichever provider is selected in Admin settings answers Ask-tab questions and generates on-demand recommendations. Both are now given the resolved codebase tech(s)/DB dialect(s) and any fetched Jira/Confluence text as part of their context.</w:t>
      </w:r>
    </w:p>
    <w:p>
      <w:pPr>
        <w:pStyle w:val="ListParagraph"/>
        <w:numPr>
          <w:ilvl w:val="0"/>
          <w:numId w:val="2"/>
        </w:numPr>
      </w:pPr>
      <w:r>
        <w:t xml:space="preserve">For a code file specifically, "Get recommendations" first fetches the file's real source via /api/file-source and sends it to the model alongside the metrics, with a system prompt that explicitly asks for a SOLID-principle/design-pattern critique and reusability/duplication concerns grounded in that real code, plus concrete before/after code suggestions — not just prose guidance from metrics alone. For a .ts/.tsx file specifically, that system prompt also embeds the full text of the team's attached Front End Design Practices document, so the critique cites the team's own stated practices (e.g. "control inversion via slotting", "domain-driven typing over primitives") by name, grounded in the real code, rather than generic React/Angular advice.</w:t>
      </w:r>
    </w:p>
    <w:p>
      <w:pPr>
        <w:pStyle w:val="ListParagraph"/>
        <w:numPr>
          <w:ilvl w:val="0"/>
          <w:numId w:val="2"/>
        </w:numPr>
      </w:pPr>
      <w:r>
        <w:t xml:space="preserve">Both the Ask tab and "Get recommendations" now also call /api/knowledge/search before building their prompt — see "Knowledge-base retrieval pipeline" below — so an uploaded internal standard grounds an answer the same way the file's own source or the design-practices document already does, for any document the team has uploaded rather than one hardcoded file.</w:t>
      </w:r>
    </w:p>
    <w:p>
      <w:pPr>
        <w:pStyle w:val="ListParagraph"/>
        <w:numPr>
          <w:ilvl w:val="0"/>
          <w:numId w:val="2"/>
        </w:numPr>
      </w:pPr>
      <w:r>
        <w:t xml:space="preserve">react-markdown + remark-gfm — renders those answers (including the fenced code-suggestion blocks) with real formatting instead of a wall of plain text.</w:t>
      </w:r>
    </w:p>
    <w:p>
      <w:pPr>
        <w:pStyle w:val="Heading2"/>
        <w:spacing w:after="120" w:before="240"/>
      </w:pPr>
      <w:r>
        <w:t xml:space="preserve">Knowledge-base retrieval pipeline</w:t>
      </w:r>
    </w:p>
    <w:p>
      <w:pPr>
        <w:spacing w:after="120"/>
      </w:pPr>
      <w:r>
        <w:t xml:space="preserve">Uploading a document (Admin panel's Knowledge Base card, POST /api/knowledge/upload) kicks off ingest_document() on a background thread; GET /api/knowledge/documents polls status/chunk_count until it flips from "processing" to "ready" (or "error", with the failure message shown inline).</w:t>
      </w:r>
    </w:p>
    <w:p>
      <w:pPr>
        <w:pStyle w:val="ListParagraph"/>
        <w:numPr>
          <w:ilvl w:val="0"/>
          <w:numId w:val="2"/>
        </w:numPr>
      </w:pPr>
      <w:r>
        <w:t xml:space="preserve">Before either the Ask tab or "Get recommendations" calls the AI, the frontend first POSTs the question (or, for a file, a synthesized query built from its language and top issues, e.g. "SQL injection C# ASP.NET Core") to /api/knowledge/search, and only proceeds to build the AI prompt with whatever chunks come back above a minimum similarity floor.</w:t>
      </w:r>
    </w:p>
    <w:p>
      <w:pPr>
        <w:pStyle w:val="ListParagraph"/>
        <w:numPr>
          <w:ilvl w:val="0"/>
          <w:numId w:val="2"/>
        </w:numPr>
      </w:pPr>
      <w:r>
        <w:t xml:space="preserve">Matching chunks are appended to the system prompt as tagged reference material ([KB-&lt;chunk_id&gt;]), with an instruction to cite them by tag — but the "Knowledge base sources" panel under the answer always renders the chunks that were actually retrieved (filename, page, snippet, confidence badge) regardless of whether the model's prose names them, since that's a more reliable transparency guarantee than parsing free-text citation markers the model may or may not reproduce faithfully.</w:t>
      </w:r>
    </w:p>
    <w:p>
      <w:pPr>
        <w:pStyle w:val="ListParagraph"/>
        <w:numPr>
          <w:ilvl w:val="0"/>
          <w:numId w:val="2"/>
        </w:numPr>
      </w:pPr>
      <w:r>
        <w:t xml:space="preserve">The model's own self-reported **Confidence: High/Medium/Low** line (its assessment of its synthesis) and each source's retrieval-confidence badge (a real number from embedding similarity) are shown side by side and never conflated — one is the model judging itself, the other is a computed fact about how well the library actually matched.</w:t>
      </w:r>
    </w:p>
    <w:p>
      <w:pPr>
        <w:pStyle w:val="ListParagraph"/>
        <w:numPr>
          <w:ilvl w:val="0"/>
          <w:numId w:val="2"/>
        </w:numPr>
      </w:pPr>
      <w:r>
        <w:t xml:space="preserve">A thumbs up/down on an individual source card POSTs to /api/knowledge/feedback and feeds that chunk's trust multiplier for future searches — separate from, and in addition to, the existing per-answer thumbs up/down on the response as a whole.</w:t>
      </w:r>
    </w:p>
    <w:p>
      <w:pPr>
        <w:pStyle w:val="ListParagraph"/>
        <w:numPr>
          <w:ilvl w:val="0"/>
          <w:numId w:val="2"/>
        </w:numPr>
      </w:pPr>
      <w:r>
        <w:t xml:space="preserve">For a code file or table, synthesizeKbQuery() (Dashboard.jsx) translates the same design-smell signals already shown as badges — a god file or high public-function count, a long conditional chain, duplicated functions, a static utility class, too many boolean props, or a high combined fan-in/fan-out — into search terms matched against the bundled reference library's own vocabulary (e.g. "single responsibility principle god object", "open closed principle strategy pattern", "microservices coupling bounded context service boundaries"), so a structural smell actually retrieves the relevant built-in write-up, not just whatever a team happened to upload.</w:t>
      </w:r>
    </w:p>
    <w:p>
      <w:pPr>
        <w:pStyle w:val="ListParagraph"/>
        <w:numPr>
          <w:ilvl w:val="0"/>
          <w:numId w:val="2"/>
        </w:numPr>
      </w:pPr>
      <w:r>
        <w:t xml:space="preserve">"Get recommendations" has its own feedback loop, separate from a source's per-citation vote: thumbs up/down on the recommendation panel's header POSTs to /api/feedback with the file/table's node_id set, and GET /api/feedback/recent now takes a scope parameter (chat vs. recommendation, filtering on whether node_id is set) so the two conditioning loops — Ask-tab answers and per-file recommendations — don't mix. Recent down-voted recommendations are folded into the next recommendation's system prompt as "avoid repeating this" examples, the same in-context-conditioning pattern ChatTab already uses and the same honest framing: a real, persisted vote log changing the next prompt, not gradient-based reinforcement learning.</w:t>
      </w:r>
    </w:p>
    <w:p>
      <w:pPr>
        <w:pStyle w:val="ListParagraph"/>
        <w:numPr>
          <w:ilvl w:val="0"/>
          <w:numId w:val="2"/>
        </w:numPr>
      </w:pPr>
      <w:r>
        <w:t xml:space="preserve">A source citation from the bundled reference library is badged "Industry reference" in the Knowledge base sources panel (and "Built-in" in the Admin panel's document list) so it's always visually distinct from a document the team uploaded itself.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2026-09-08T12:37:02.289Z</dcterms:created>
  <dcterms:modified xsi:type="dcterms:W3CDTF">2026-09-08T12:37:02.290Z</dcterms:modified>
</cp:coreProperties>
</file>

<file path=docProps/custom.xml><?xml version="1.0" encoding="utf-8"?>
<Properties xmlns="http://schemas.openxmlformats.org/officeDocument/2006/custom-properties" xmlns:vt="http://schemas.openxmlformats.org/officeDocument/2006/docPropsVTypes"/>
</file>