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6E"/>
        </w:rPr>
        <w:t>Customer Churn Prediction Report</w:t>
      </w:r>
    </w:p>
    <w:p>
      <w:r>
        <w:rPr>
          <w:b w:val="0"/>
          <w:sz w:val="20"/>
        </w:rPr>
        <w:t>Automated churn analysis for subscription business | Telco Customer Churn Dataset</w:t>
      </w:r>
    </w:p>
    <w:p/>
    <w:p>
      <w:pPr>
        <w:pStyle w:val="Heading1"/>
      </w:pPr>
      <w:r>
        <w:rPr>
          <w:color w:val="1A3C6E"/>
        </w:rPr>
        <w:t>Executive Summary</w:t>
      </w:r>
    </w:p>
    <w:p>
      <w:r>
        <w:rPr>
          <w:b w:val="0"/>
          <w:sz w:val="22"/>
        </w:rPr>
        <w:t>This report analyzes 7043 customers to predict churn and identify key risk factors. The overall churn rate is 26.54%, resulting in a monthly revenue loss of $139,130.85. Retained customers show significantly higher lifetime value ($2,555.34) compared to churned customers ($1,531.80).</w:t>
      </w:r>
    </w:p>
    <w:p>
      <w:pPr>
        <w:pStyle w:val="Heading2"/>
      </w:pPr>
      <w:r>
        <w:rPr>
          <w:color w:val="1A3C6E"/>
        </w:rPr>
        <w:t>Key Performance Indicators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Customers</w:t>
            </w:r>
          </w:p>
        </w:tc>
        <w:tc>
          <w:tcPr>
            <w:tcW w:type="dxa" w:w="4320"/>
          </w:tcPr>
          <w:p>
            <w:r>
              <w:rPr>
                <w:sz w:val="20"/>
              </w:rPr>
              <w:t>7,043</w:t>
            </w:r>
          </w:p>
        </w:tc>
      </w:tr>
      <w:tr>
        <w:tc>
          <w:tcPr>
            <w:tcW w:type="dxa" w:w="4320"/>
          </w:tcPr>
          <w:p>
            <w:r>
              <w:rPr>
                <w:sz w:val="20"/>
              </w:rPr>
              <w:t>Churn Rate</w:t>
            </w:r>
          </w:p>
        </w:tc>
        <w:tc>
          <w:tcPr>
            <w:tcW w:type="dxa" w:w="4320"/>
          </w:tcPr>
          <w:p>
            <w:r>
              <w:rPr>
                <w:sz w:val="20"/>
              </w:rPr>
              <w:t>26.54%</w:t>
            </w:r>
          </w:p>
        </w:tc>
      </w:tr>
      <w:tr>
        <w:tc>
          <w:tcPr>
            <w:tcW w:type="dxa" w:w="4320"/>
          </w:tcPr>
          <w:p>
            <w:r>
              <w:rPr>
                <w:sz w:val="20"/>
              </w:rPr>
              <w:t>Retention Rate</w:t>
            </w:r>
          </w:p>
        </w:tc>
        <w:tc>
          <w:tcPr>
            <w:tcW w:type="dxa" w:w="4320"/>
          </w:tcPr>
          <w:p>
            <w:r>
              <w:rPr>
                <w:sz w:val="20"/>
              </w:rPr>
              <w:t>73.46%</w:t>
            </w:r>
          </w:p>
        </w:tc>
      </w:tr>
      <w:tr>
        <w:tc>
          <w:tcPr>
            <w:tcW w:type="dxa" w:w="4320"/>
          </w:tcPr>
          <w:p>
            <w:r>
              <w:rPr>
                <w:sz w:val="20"/>
              </w:rPr>
              <w:t>Monthly Revenue Loss</w:t>
            </w:r>
          </w:p>
        </w:tc>
        <w:tc>
          <w:tcPr>
            <w:tcW w:type="dxa" w:w="4320"/>
          </w:tcPr>
          <w:p>
            <w:r>
              <w:rPr>
                <w:sz w:val="20"/>
              </w:rPr>
              <w:t>$139,130.85</w:t>
            </w:r>
          </w:p>
        </w:tc>
      </w:tr>
      <w:tr>
        <w:tc>
          <w:tcPr>
            <w:tcW w:type="dxa" w:w="4320"/>
          </w:tcPr>
          <w:p>
            <w:r>
              <w:rPr>
                <w:sz w:val="20"/>
              </w:rPr>
              <w:t>Average CLV</w:t>
            </w:r>
          </w:p>
        </w:tc>
        <w:tc>
          <w:tcPr>
            <w:tcW w:type="dxa" w:w="4320"/>
          </w:tcPr>
          <w:p>
            <w:r>
              <w:rPr>
                <w:sz w:val="20"/>
              </w:rPr>
              <w:t>$2,283.30</w:t>
            </w:r>
          </w:p>
        </w:tc>
      </w:tr>
      <w:tr>
        <w:tc>
          <w:tcPr>
            <w:tcW w:type="dxa" w:w="4320"/>
          </w:tcPr>
          <w:p>
            <w:r>
              <w:rPr>
                <w:sz w:val="20"/>
              </w:rPr>
              <w:t>Avg CLV (Churned)</w:t>
            </w:r>
          </w:p>
        </w:tc>
        <w:tc>
          <w:tcPr>
            <w:tcW w:type="dxa" w:w="4320"/>
          </w:tcPr>
          <w:p>
            <w:r>
              <w:rPr>
                <w:sz w:val="20"/>
              </w:rPr>
              <w:t>$1,531.80</w:t>
            </w:r>
          </w:p>
        </w:tc>
      </w:tr>
      <w:tr>
        <w:tc>
          <w:tcPr>
            <w:tcW w:type="dxa" w:w="4320"/>
          </w:tcPr>
          <w:p>
            <w:r>
              <w:rPr>
                <w:sz w:val="20"/>
              </w:rPr>
              <w:t>Avg CLV (Retained)</w:t>
            </w:r>
          </w:p>
        </w:tc>
        <w:tc>
          <w:tcPr>
            <w:tcW w:type="dxa" w:w="4320"/>
          </w:tcPr>
          <w:p>
            <w:r>
              <w:rPr>
                <w:sz w:val="20"/>
              </w:rPr>
              <w:t>$2,555.34</w:t>
            </w:r>
          </w:p>
        </w:tc>
      </w:tr>
    </w:tbl>
    <w:p/>
    <w:p>
      <w:pPr>
        <w:pStyle w:val="Heading1"/>
      </w:pPr>
      <w:r>
        <w:rPr>
          <w:color w:val="1A3C6E"/>
        </w:rPr>
        <w:t>Machine Learning Models</w:t>
      </w:r>
    </w:p>
    <w:p>
      <w:r>
        <w:rPr>
          <w:b w:val="0"/>
          <w:sz w:val="22"/>
        </w:rPr>
        <w:t>Three classification models were trained using 5-fold stratified cross-validation. Logistic Regression achieved the highest ROC-AUC score.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ROC-AUC</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 Score</w:t>
            </w:r>
          </w:p>
        </w:tc>
      </w:tr>
      <w:tr>
        <w:tc>
          <w:tcPr>
            <w:tcW w:type="dxa" w:w="1440"/>
          </w:tcPr>
          <w:p>
            <w:r>
              <w:rPr>
                <w:sz w:val="20"/>
              </w:rPr>
              <w:t>LogisticRegression (best)</w:t>
            </w:r>
          </w:p>
        </w:tc>
        <w:tc>
          <w:tcPr>
            <w:tcW w:type="dxa" w:w="1440"/>
          </w:tcPr>
          <w:p>
            <w:r>
              <w:rPr>
                <w:sz w:val="20"/>
              </w:rPr>
              <w:t>0.8422</w:t>
            </w:r>
          </w:p>
        </w:tc>
        <w:tc>
          <w:tcPr>
            <w:tcW w:type="dxa" w:w="1440"/>
          </w:tcPr>
          <w:p>
            <w:r>
              <w:rPr>
                <w:sz w:val="20"/>
              </w:rPr>
              <w:t>0.8062</w:t>
            </w:r>
          </w:p>
        </w:tc>
        <w:tc>
          <w:tcPr>
            <w:tcW w:type="dxa" w:w="1440"/>
          </w:tcPr>
          <w:p>
            <w:r>
              <w:rPr>
                <w:sz w:val="20"/>
              </w:rPr>
              <w:t>0.6593</w:t>
            </w:r>
          </w:p>
        </w:tc>
        <w:tc>
          <w:tcPr>
            <w:tcW w:type="dxa" w:w="1440"/>
          </w:tcPr>
          <w:p>
            <w:r>
              <w:rPr>
                <w:sz w:val="20"/>
              </w:rPr>
              <w:t>0.5588</w:t>
            </w:r>
          </w:p>
        </w:tc>
        <w:tc>
          <w:tcPr>
            <w:tcW w:type="dxa" w:w="1440"/>
          </w:tcPr>
          <w:p>
            <w:r>
              <w:rPr>
                <w:sz w:val="20"/>
              </w:rPr>
              <w:t>0.6049</w:t>
            </w:r>
          </w:p>
        </w:tc>
      </w:tr>
      <w:tr>
        <w:tc>
          <w:tcPr>
            <w:tcW w:type="dxa" w:w="1440"/>
          </w:tcPr>
          <w:p>
            <w:r>
              <w:rPr>
                <w:sz w:val="20"/>
              </w:rPr>
              <w:t>RandomForest</w:t>
            </w:r>
          </w:p>
        </w:tc>
        <w:tc>
          <w:tcPr>
            <w:tcW w:type="dxa" w:w="1440"/>
          </w:tcPr>
          <w:p>
            <w:r>
              <w:rPr>
                <w:sz w:val="20"/>
              </w:rPr>
              <w:t>0.8259</w:t>
            </w:r>
          </w:p>
        </w:tc>
        <w:tc>
          <w:tcPr>
            <w:tcW w:type="dxa" w:w="1440"/>
          </w:tcPr>
          <w:p>
            <w:r>
              <w:rPr>
                <w:sz w:val="20"/>
              </w:rPr>
              <w:t>0.7921</w:t>
            </w:r>
          </w:p>
        </w:tc>
        <w:tc>
          <w:tcPr>
            <w:tcW w:type="dxa" w:w="1440"/>
          </w:tcPr>
          <w:p>
            <w:r>
              <w:rPr>
                <w:sz w:val="20"/>
              </w:rPr>
              <w:t>0.6355</w:t>
            </w:r>
          </w:p>
        </w:tc>
        <w:tc>
          <w:tcPr>
            <w:tcW w:type="dxa" w:w="1440"/>
          </w:tcPr>
          <w:p>
            <w:r>
              <w:rPr>
                <w:sz w:val="20"/>
              </w:rPr>
              <w:t>0.508</w:t>
            </w:r>
          </w:p>
        </w:tc>
        <w:tc>
          <w:tcPr>
            <w:tcW w:type="dxa" w:w="1440"/>
          </w:tcPr>
          <w:p>
            <w:r>
              <w:rPr>
                <w:sz w:val="20"/>
              </w:rPr>
              <w:t>0.5646</w:t>
            </w:r>
          </w:p>
        </w:tc>
      </w:tr>
      <w:tr>
        <w:tc>
          <w:tcPr>
            <w:tcW w:type="dxa" w:w="1440"/>
          </w:tcPr>
          <w:p>
            <w:r>
              <w:rPr>
                <w:sz w:val="20"/>
              </w:rPr>
              <w:t>XGBoost</w:t>
            </w:r>
          </w:p>
        </w:tc>
        <w:tc>
          <w:tcPr>
            <w:tcW w:type="dxa" w:w="1440"/>
          </w:tcPr>
          <w:p>
            <w:r>
              <w:rPr>
                <w:sz w:val="20"/>
              </w:rPr>
              <w:t>0.8326</w:t>
            </w:r>
          </w:p>
        </w:tc>
        <w:tc>
          <w:tcPr>
            <w:tcW w:type="dxa" w:w="1440"/>
          </w:tcPr>
          <w:p>
            <w:r>
              <w:rPr>
                <w:sz w:val="20"/>
              </w:rPr>
              <w:t>0.7935</w:t>
            </w:r>
          </w:p>
        </w:tc>
        <w:tc>
          <w:tcPr>
            <w:tcW w:type="dxa" w:w="1440"/>
          </w:tcPr>
          <w:p>
            <w:r>
              <w:rPr>
                <w:sz w:val="20"/>
              </w:rPr>
              <w:t>0.6309</w:t>
            </w:r>
          </w:p>
        </w:tc>
        <w:tc>
          <w:tcPr>
            <w:tcW w:type="dxa" w:w="1440"/>
          </w:tcPr>
          <w:p>
            <w:r>
              <w:rPr>
                <w:sz w:val="20"/>
              </w:rPr>
              <w:t>0.5348</w:t>
            </w:r>
          </w:p>
        </w:tc>
        <w:tc>
          <w:tcPr>
            <w:tcW w:type="dxa" w:w="1440"/>
          </w:tcPr>
          <w:p>
            <w:r>
              <w:rPr>
                <w:sz w:val="20"/>
              </w:rPr>
              <w:t>0.5789</w:t>
            </w:r>
          </w:p>
        </w:tc>
      </w:tr>
    </w:tbl>
    <w:p/>
    <w:p>
      <w:pPr>
        <w:pStyle w:val="Heading2"/>
      </w:pPr>
      <w:r>
        <w:rPr>
          <w:color w:val="1A3C6E"/>
        </w:rPr>
        <w:t>ROC Curves Comparison</w:t>
      </w:r>
    </w:p>
    <w:p>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roc_curves_comparison.png"/>
                    <pic:cNvPicPr/>
                  </pic:nvPicPr>
                  <pic:blipFill>
                    <a:blip r:embed="rId9"/>
                    <a:stretch>
                      <a:fillRect/>
                    </a:stretch>
                  </pic:blipFill>
                  <pic:spPr>
                    <a:xfrm>
                      <a:off x="0" y="0"/>
                      <a:ext cx="5029200" cy="3771900"/>
                    </a:xfrm>
                    <a:prstGeom prst="rect"/>
                  </pic:spPr>
                </pic:pic>
              </a:graphicData>
            </a:graphic>
          </wp:inline>
        </w:drawing>
      </w:r>
    </w:p>
    <w:p/>
    <w:p>
      <w:pPr>
        <w:pStyle w:val="Heading2"/>
      </w:pPr>
      <w:r>
        <w:rPr>
          <w:color w:val="1A3C6E"/>
        </w:rPr>
        <w:t>Confusion Matrices</w:t>
      </w:r>
    </w:p>
    <w:p>
      <w:r>
        <w:rPr>
          <w:b/>
          <w:sz w:val="22"/>
        </w:rPr>
        <w:t>LogisticRegression</w:t>
      </w:r>
    </w:p>
    <w:p>
      <w:r>
        <w:drawing>
          <wp:inline xmlns:a="http://schemas.openxmlformats.org/drawingml/2006/main" xmlns:pic="http://schemas.openxmlformats.org/drawingml/2006/picture">
            <wp:extent cx="3657600" cy="2926080"/>
            <wp:docPr id="2" name="Picture 2"/>
            <wp:cNvGraphicFramePr>
              <a:graphicFrameLocks noChangeAspect="1"/>
            </wp:cNvGraphicFramePr>
            <a:graphic>
              <a:graphicData uri="http://schemas.openxmlformats.org/drawingml/2006/picture">
                <pic:pic>
                  <pic:nvPicPr>
                    <pic:cNvPr id="0" name="LogisticRegression_confusion_matrix.png"/>
                    <pic:cNvPicPr/>
                  </pic:nvPicPr>
                  <pic:blipFill>
                    <a:blip r:embed="rId10"/>
                    <a:stretch>
                      <a:fillRect/>
                    </a:stretch>
                  </pic:blipFill>
                  <pic:spPr>
                    <a:xfrm>
                      <a:off x="0" y="0"/>
                      <a:ext cx="3657600" cy="2926080"/>
                    </a:xfrm>
                    <a:prstGeom prst="rect"/>
                  </pic:spPr>
                </pic:pic>
              </a:graphicData>
            </a:graphic>
          </wp:inline>
        </w:drawing>
      </w:r>
    </w:p>
    <w:p/>
    <w:p>
      <w:r>
        <w:rPr>
          <w:b/>
          <w:sz w:val="22"/>
        </w:rPr>
        <w:t>RandomForest</w:t>
      </w:r>
    </w:p>
    <w:p>
      <w:r>
        <w:drawing>
          <wp:inline xmlns:a="http://schemas.openxmlformats.org/drawingml/2006/main" xmlns:pic="http://schemas.openxmlformats.org/drawingml/2006/picture">
            <wp:extent cx="3657600" cy="2926080"/>
            <wp:docPr id="3" name="Picture 3"/>
            <wp:cNvGraphicFramePr>
              <a:graphicFrameLocks noChangeAspect="1"/>
            </wp:cNvGraphicFramePr>
            <a:graphic>
              <a:graphicData uri="http://schemas.openxmlformats.org/drawingml/2006/picture">
                <pic:pic>
                  <pic:nvPicPr>
                    <pic:cNvPr id="0" name="RandomForest_confusion_matrix.png"/>
                    <pic:cNvPicPr/>
                  </pic:nvPicPr>
                  <pic:blipFill>
                    <a:blip r:embed="rId11"/>
                    <a:stretch>
                      <a:fillRect/>
                    </a:stretch>
                  </pic:blipFill>
                  <pic:spPr>
                    <a:xfrm>
                      <a:off x="0" y="0"/>
                      <a:ext cx="3657600" cy="2926080"/>
                    </a:xfrm>
                    <a:prstGeom prst="rect"/>
                  </pic:spPr>
                </pic:pic>
              </a:graphicData>
            </a:graphic>
          </wp:inline>
        </w:drawing>
      </w:r>
    </w:p>
    <w:p/>
    <w:p>
      <w:r>
        <w:rPr>
          <w:b/>
          <w:sz w:val="22"/>
        </w:rPr>
        <w:t>XGBoost</w:t>
      </w:r>
    </w:p>
    <w:p>
      <w:r>
        <w:drawing>
          <wp:inline xmlns:a="http://schemas.openxmlformats.org/drawingml/2006/main" xmlns:pic="http://schemas.openxmlformats.org/drawingml/2006/picture">
            <wp:extent cx="3657600" cy="2926080"/>
            <wp:docPr id="4" name="Picture 4"/>
            <wp:cNvGraphicFramePr>
              <a:graphicFrameLocks noChangeAspect="1"/>
            </wp:cNvGraphicFramePr>
            <a:graphic>
              <a:graphicData uri="http://schemas.openxmlformats.org/drawingml/2006/picture">
                <pic:pic>
                  <pic:nvPicPr>
                    <pic:cNvPr id="0" name="XGBoost_confusion_matrix.png"/>
                    <pic:cNvPicPr/>
                  </pic:nvPicPr>
                  <pic:blipFill>
                    <a:blip r:embed="rId12"/>
                    <a:stretch>
                      <a:fillRect/>
                    </a:stretch>
                  </pic:blipFill>
                  <pic:spPr>
                    <a:xfrm>
                      <a:off x="0" y="0"/>
                      <a:ext cx="3657600" cy="2926080"/>
                    </a:xfrm>
                    <a:prstGeom prst="rect"/>
                  </pic:spPr>
                </pic:pic>
              </a:graphicData>
            </a:graphic>
          </wp:inline>
        </w:drawing>
      </w:r>
    </w:p>
    <w:p/>
    <w:p>
      <w:pPr>
        <w:pStyle w:val="Heading1"/>
      </w:pPr>
      <w:r>
        <w:rPr>
          <w:color w:val="1A3C6E"/>
        </w:rPr>
        <w:t>Feature Importance</w:t>
      </w:r>
    </w:p>
    <w:p>
      <w:r>
        <w:rPr>
          <w:b w:val="0"/>
          <w:sz w:val="22"/>
        </w:rPr>
        <w:t>Random Forest feature importance reveals the top predictors of churn. Tenure, MonthlyCharges, and TotalCharges dominate — customers who are newer, pay higher monthly fees, and have lower total charges are most at risk.</w:t>
      </w:r>
    </w:p>
    <w:p>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029200" cy="3017520"/>
                    </a:xfrm>
                    <a:prstGeom prst="rect"/>
                  </pic:spPr>
                </pic:pic>
              </a:graphicData>
            </a:graphic>
          </wp:inline>
        </w:drawing>
      </w:r>
    </w:p>
    <w:p/>
    <w:p>
      <w:pPr>
        <w:pStyle w:val="Heading1"/>
      </w:pPr>
      <w:r>
        <w:rPr>
          <w:color w:val="1A3C6E"/>
        </w:rPr>
        <w:t>SHAP Analysis</w:t>
      </w:r>
    </w:p>
    <w:p>
      <w:r>
        <w:rPr>
          <w:b w:val="0"/>
          <w:sz w:val="22"/>
        </w:rPr>
        <w:t>SHAP summary plot (XGBoost) confirms that high MonthlyCharges and low tenure are the strongest drivers pushing customers toward churn. Fiber optic internet service and electronic check payment method also increase churn probability.</w:t>
      </w:r>
    </w:p>
    <w:p>
      <w:r>
        <w:drawing>
          <wp:inline xmlns:a="http://schemas.openxmlformats.org/drawingml/2006/main" xmlns:pic="http://schemas.openxmlformats.org/drawingml/2006/picture">
            <wp:extent cx="5029200" cy="4745744"/>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5029200" cy="4745744"/>
                    </a:xfrm>
                    <a:prstGeom prst="rect"/>
                  </pic:spPr>
                </pic:pic>
              </a:graphicData>
            </a:graphic>
          </wp:inline>
        </w:drawing>
      </w:r>
    </w:p>
    <w:p/>
    <w:p>
      <w:pPr>
        <w:pStyle w:val="Heading1"/>
      </w:pPr>
      <w:r>
        <w:rPr>
          <w:color w:val="1A3C6E"/>
        </w:rPr>
        <w:t>Customer Segmentation</w:t>
      </w:r>
    </w:p>
    <w:p>
      <w:r>
        <w:rPr>
          <w:b w:val="0"/>
          <w:sz w:val="22"/>
        </w:rPr>
        <w:t>K-Means clustering identified 4 distinct customer segments. Cluster 3 (short tenure, high charges) has the highest churn rate at ~48%, while Cluster 2 (long tenure, low charges) has the lowest at ~5%.</w:t>
      </w:r>
    </w:p>
    <w:p>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customer_segments.png"/>
                    <pic:cNvPicPr/>
                  </pic:nvPicPr>
                  <pic:blipFill>
                    <a:blip r:embed="rId15"/>
                    <a:stretch>
                      <a:fillRect/>
                    </a:stretch>
                  </pic:blipFill>
                  <pic:spPr>
                    <a:xfrm>
                      <a:off x="0" y="0"/>
                      <a:ext cx="5029200" cy="3017520"/>
                    </a:xfrm>
                    <a:prstGeom prst="rect"/>
                  </pic:spPr>
                </pic:pic>
              </a:graphicData>
            </a:graphic>
          </wp:inline>
        </w:drawing>
      </w:r>
    </w:p>
    <w:p/>
    <w:p>
      <w:r>
        <w:drawing>
          <wp:inline xmlns:a="http://schemas.openxmlformats.org/drawingml/2006/main" xmlns:pic="http://schemas.openxmlformats.org/drawingml/2006/picture">
            <wp:extent cx="3657600" cy="1828800"/>
            <wp:docPr id="8" name="Picture 8"/>
            <wp:cNvGraphicFramePr>
              <a:graphicFrameLocks noChangeAspect="1"/>
            </wp:cNvGraphicFramePr>
            <a:graphic>
              <a:graphicData uri="http://schemas.openxmlformats.org/drawingml/2006/picture">
                <pic:pic>
                  <pic:nvPicPr>
                    <pic:cNvPr id="0" name="kmeans_elbow.png"/>
                    <pic:cNvPicPr/>
                  </pic:nvPicPr>
                  <pic:blipFill>
                    <a:blip r:embed="rId16"/>
                    <a:stretch>
                      <a:fillRect/>
                    </a:stretch>
                  </pic:blipFill>
                  <pic:spPr>
                    <a:xfrm>
                      <a:off x="0" y="0"/>
                      <a:ext cx="3657600" cy="1828800"/>
                    </a:xfrm>
                    <a:prstGeom prst="rect"/>
                  </pic:spPr>
                </pic:pic>
              </a:graphicData>
            </a:graphic>
          </wp:inline>
        </w:drawing>
      </w:r>
    </w:p>
    <w:p/>
    <w:p>
      <w:pPr>
        <w:pStyle w:val="Heading1"/>
      </w:pPr>
      <w:r>
        <w:rPr>
          <w:color w:val="1A3C6E"/>
        </w:rPr>
        <w:t>Key Insights &amp; Recommendations</w:t>
      </w:r>
    </w:p>
    <w:p>
      <w:pPr>
        <w:pStyle w:val="ListBullet"/>
      </w:pPr>
      <w:r>
        <w:t>Month-to-month contracts have the highest churn rate — promote annual/biannual plans.</w:t>
      </w:r>
    </w:p>
    <w:p>
      <w:pPr>
        <w:pStyle w:val="ListBullet"/>
      </w:pPr>
      <w:r>
        <w:t>Customers with Fiber optic internet churn more than DSL — investigate service quality and pricing.</w:t>
      </w:r>
    </w:p>
    <w:p>
      <w:pPr>
        <w:pStyle w:val="ListBullet"/>
      </w:pPr>
      <w:r>
        <w:t>High support ticket volume strongly correlates with churn — prioritize early intervention.</w:t>
      </w:r>
    </w:p>
    <w:p>
      <w:pPr>
        <w:pStyle w:val="ListBullet"/>
      </w:pPr>
      <w:r>
        <w:t>Customers in the first 12 months of tenure are most vulnerable — implement onboarding engagement.</w:t>
      </w:r>
    </w:p>
    <w:p>
      <w:pPr>
        <w:pStyle w:val="ListBullet"/>
      </w:pPr>
      <w:r>
        <w:t>Electronic check payment method correlates with higher churn — incentivize auto-pay.</w:t>
      </w:r>
    </w:p>
    <w:p>
      <w:pPr>
        <w:pStyle w:val="ListBullet"/>
      </w:pPr>
      <w:r>
        <w:t>Cluster 3 (short tenure, high charges) represents the highest-risk segment — target retention offers.</w:t>
      </w:r>
    </w:p>
    <w:p>
      <w:pPr>
        <w:pStyle w:val="Heading1"/>
      </w:pPr>
      <w:r>
        <w:rPr>
          <w:color w:val="1A3C6E"/>
        </w:rPr>
        <w:t>SQL Analysis Queries</w:t>
      </w:r>
    </w:p>
    <w:p>
      <w:r>
        <w:rPr>
          <w:b w:val="0"/>
          <w:sz w:val="22"/>
        </w:rPr>
        <w:t>The following SQL queries analyze churn patterns across contract types, payment methods, tenure groups, and services:</w:t>
      </w:r>
    </w:p>
    <w:p>
      <w:r>
        <w:rPr>
          <w:rFonts w:ascii="Consolas" w:hAnsi="Consolas"/>
          <w:sz w:val="16"/>
        </w:rPr>
        <w:br/>
        <w:t>-- 1. Churn rate by contract type</w:t>
        <w:br/>
        <w:t>SELECT</w:t>
        <w:br/>
        <w:t xml:space="preserve">    Contract,</w:t>
        <w:br/>
        <w:t xml:space="preserve">    COUNT(*) AS total_customers,</w:t>
        <w:br/>
        <w:t xml:space="preserve">    SUM(CASE WHEN Churn = 'Yes' THEN 1 ELSE 0 END) AS churned,</w:t>
        <w:br/>
        <w:t xml:space="preserve">    ROUND(100.0 * SUM(CASE WHEN Churn = 'Yes' THEN 1 ELSE 0 END) / COUNT(*), 2) AS churn_rate_pct</w:t>
        <w:br/>
        <w:t>FROM telco_churn</w:t>
        <w:br/>
        <w:t>GROUP BY Contract</w:t>
        <w:br/>
        <w:t>ORDER BY churn_rate_pct DESC;</w:t>
        <w:br/>
        <w:br/>
        <w:t>-- 2. Churn rate by payment method</w:t>
        <w:br/>
        <w:t>SELECT</w:t>
        <w:br/>
        <w:t xml:space="preserve">    PaymentMethod,</w:t>
        <w:br/>
        <w:t xml:space="preserve">    COUNT(*) AS total_customers,</w:t>
        <w:br/>
        <w:t xml:space="preserve">    SUM(CASE WHEN Churn = 'Yes' THEN 1 ELSE 0 END) AS churned,</w:t>
        <w:br/>
        <w:t xml:space="preserve">    ROUND(100.0 * SUM(CASE WHEN Churn = 'Yes' THEN 1 ELSE 0 END) / COUNT(*), 2) AS churn_rate_pct</w:t>
        <w:br/>
        <w:t>FROM telco_churn</w:t>
        <w:br/>
        <w:t>GROUP BY PaymentMethod</w:t>
        <w:br/>
        <w:t>ORDER BY churn_rate_pct DESC;</w:t>
        <w:br/>
        <w:br/>
        <w:t>-- 3. High-risk segments (tenure &lt; 12 months, month-to-month contract, fiber optic)</w:t>
        <w:br/>
        <w:t>SELECT</w:t>
        <w:br/>
        <w:t xml:space="preserve">    CASE</w:t>
        <w:br/>
        <w:t xml:space="preserve">        WHEN tenure &lt; 6 THEN '0-6 months'</w:t>
        <w:br/>
        <w:t xml:space="preserve">        WHEN tenure &lt; 12 THEN '6-12 months'</w:t>
        <w:br/>
        <w:t xml:space="preserve">        WHEN tenure &lt; 24 THEN '12-24 months'</w:t>
        <w:br/>
        <w:t xml:space="preserve">        WHEN tenure &lt; 48 THEN '24-48 months'</w:t>
        <w:br/>
        <w:t xml:space="preserve">        ELSE '48+ months'</w:t>
        <w:br/>
        <w:t xml:space="preserve">    END AS tenure_group,</w:t>
        <w:br/>
        <w:t xml:space="preserve">    COUNT(*) AS total_customers,</w:t>
        <w:br/>
        <w:t xml:space="preserve">    SUM(CASE WHEN Churn = 'Yes' THEN 1 ELSE 0 END) AS churned,</w:t>
        <w:br/>
        <w:t xml:space="preserve">    ROUND(100.0 * SUM(CASE WHEN Churn = 'Yes' THEN 1 ELSE 0 END) / COUNT(*), 2) AS churn_rate_pct</w:t>
        <w:br/>
        <w:t>FROM telco_churn</w:t>
        <w:br/>
        <w:t>GROUP BY tenure_group</w:t>
        <w:br/>
        <w:t>ORDER BY tenure_group;</w:t>
        <w:br/>
        <w:br/>
        <w:t>-- 4. Monthly revenue loss due to churn</w:t>
        <w:br/>
        <w:t>SELECT</w:t>
        <w:br/>
        <w:t xml:space="preserve">    SUM(MonthlyCharges) AS total_monthly_revenue,</w:t>
        <w:br/>
        <w:t xml:space="preserve">    SUM(CASE WHEN Churn = 'Yes' THEN MonthlyCharges ELSE 0 END) AS monthly_revenue_loss,</w:t>
        <w:br/>
        <w:t xml:space="preserve">    ROUND(100.0 * SUM(CASE WHEN Churn = 'Yes' THEN MonthlyCharges ELSE 0 END) / SUM(MonthlyCharges), 2) AS revenue_loss_pct</w:t>
        <w:br/>
        <w:t>FROM telco_churn;</w:t>
        <w:br/>
        <w:br/>
        <w:t>-- 5. Internet service vs churn</w:t>
        <w:br/>
        <w:t>SELECT</w:t>
        <w:br/>
        <w:t xml:space="preserve">    InternetService,</w:t>
        <w:br/>
        <w:t xml:space="preserve">    COUNT(*) AS total_customers,</w:t>
        <w:br/>
        <w:t xml:space="preserve">    SUM(CASE WHEN Churn = 'Yes' THEN 1 ELSE 0 END) AS churned,</w:t>
        <w:br/>
        <w:t xml:space="preserve">    ROUND(100.0 * SUM(CASE WHEN Churn = 'Yes' THEN 1 ELSE 0 END) / COUNT(*), 2) AS churn_rate_pct</w:t>
        <w:br/>
        <w:t>FROM telco_churn</w:t>
        <w:br/>
        <w:t>GROUP BY InternetService</w:t>
        <w:br/>
        <w:t>ORDER BY churn_rate_pct DESC;</w:t>
        <w:br/>
        <w:br/>
        <w:t>-- 6. Senior citizen churn analysis</w:t>
        <w:br/>
        <w:t>SELECT</w:t>
        <w:br/>
        <w:t xml:space="preserve">    SeniorCitizen,</w:t>
        <w:br/>
        <w:t xml:space="preserve">    COUNT(*) AS total_customers,</w:t>
        <w:br/>
        <w:t xml:space="preserve">    SUM(CASE WHEN Churn</w:t>
        <w:br/>
        <w:br/>
        <w:t>-- (truncated — see sql/churn_analysis.sql for full content)</w:t>
      </w:r>
    </w:p>
    <w:p>
      <w:pPr>
        <w:pStyle w:val="Heading1"/>
      </w:pPr>
      <w:r>
        <w:rPr>
          <w:color w:val="1A3C6E"/>
        </w:rPr>
        <w:t>Dashboard References</w:t>
      </w:r>
    </w:p>
    <w:p>
      <w:pPr>
        <w:pStyle w:val="ListBullet"/>
      </w:pPr>
      <w:r>
        <w:t>Power BI Pages: Overview (KPIs), Risk Analysis (segments), Behavior Analysis (tenure/charges vs churn), Service Analysis (support tickets, internet service).</w:t>
      </w:r>
    </w:p>
    <w:p>
      <w:pPr>
        <w:pStyle w:val="ListBullet"/>
      </w:pPr>
      <w:r>
        <w:t>Tableau Elements: Risk heatmap, customer segmentation clusters, funnel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