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A365D"/>
          <w:sz w:val="48"/>
        </w:rPr>
        <w:t>Confidence-Gated Selective Consultation (CG-SC)</w:t>
      </w:r>
    </w:p>
    <w:p>
      <w:pPr>
        <w:spacing w:after="360"/>
      </w:pPr>
      <w:r>
        <w:rPr>
          <w:rFonts w:ascii="Calibri" w:hAnsi="Calibri"/>
          <w:i/>
          <w:color w:val="4A5568"/>
          <w:sz w:val="26"/>
        </w:rPr>
        <w:t>Comprehensive Technical Project Blueprint and Master Reference</w:t>
        <w:br/>
        <w:t>Adaptive Meta-Decision Topologies in Large Language Model Multi-Agent Systems</w:t>
      </w:r>
    </w:p>
    <w:tbl>
      <w:tblPr>
        <w:tblW w:type="auto" w:w="0"/>
        <w:jc w:val="center"/>
        <w:tblLook w:firstColumn="1" w:firstRow="1" w:lastColumn="0" w:lastRow="0" w:noHBand="0" w:noVBand="1" w:val="04A0"/>
      </w:tblPr>
      <w:tblGrid>
        <w:gridCol w:w="9360"/>
      </w:tblGrid>
      <w:tr>
        <w:tc>
          <w:tcPr>
            <w:tcW w:type="dxa" w:w="9360"/>
            <w:shd w:fill="F7FAFC"/>
            <w:tcMar>
              <w:top w:w="140" w:type="dxa"/>
              <w:bottom w:w="140" w:type="dxa"/>
              <w:left w:w="200" w:type="dxa"/>
              <w:right w:w="200" w:type="dxa"/>
            </w:tcMar>
          </w:tcPr>
          <w:p>
            <w:pPr>
              <w:spacing w:after="0"/>
            </w:pPr>
            <w:r>
              <w:rPr>
                <w:b/>
              </w:rPr>
              <w:t xml:space="preserve">Public Implementation Repository: </w:t>
            </w:r>
            <w:r>
              <w:t>https://github.com/ramnnn2006/cg-sc</w:t>
              <w:br/>
            </w:r>
            <w:r>
              <w:rPr>
                <w:b/>
              </w:rPr>
              <w:t xml:space="preserve">Academic Research Repository: </w:t>
            </w:r>
            <w:r>
              <w:t>https://github.com/ramnnn2006/rp</w:t>
              <w:br/>
            </w:r>
            <w:r>
              <w:rPr>
                <w:b/>
              </w:rPr>
              <w:t xml:space="preserve">Target Venues: </w:t>
            </w:r>
            <w:r>
              <w:t>IEEE Conference Track / Academic Project Review 2 Evaluation</w:t>
            </w:r>
          </w:p>
        </w:tc>
      </w:tr>
    </w:tbl>
    <w:p/>
    <w:p>
      <w:pPr>
        <w:keepNext/>
        <w:spacing w:before="320" w:after="120"/>
      </w:pPr>
      <w:r>
        <w:rPr>
          <w:rFonts w:ascii="Calibri" w:hAnsi="Calibri"/>
          <w:b/>
          <w:color w:val="1A365D"/>
          <w:sz w:val="32"/>
        </w:rPr>
        <w:t>1. Executive Summary</w:t>
      </w:r>
    </w:p>
    <w:p>
      <w:r>
        <w:t>Confidence-Gated Selective Consultation (CG-SC) is an adaptive decision-making framework for Large Language Model Multi-Agent Systems (LLM-MAS). Current multi-agent architectures operate on static, always-on communication graphs where every query unconditionally triggers an exhaustive debate among multiple agents. While this approach is intended to improve decision quality, it introduces severe computational inefficiency and frequently causes debate degeneration—where peer noise and contrarian viewpoints corrupt an already-correct solo model prediction.</w:t>
      </w:r>
    </w:p>
    <w:p>
      <w:r>
        <w:t>CG-SC reframes multi-agent collaboration as an adaptive, epistemic meta-decision. Before summoning peer agents, the system assesses the primary model's confidence mathematically through token-level predictive entropy, semantic self-consistency, and chain-of-thought verification. Straightforward queries take a zero-overhead Solo Fast-Path (0 peer tokens consumed, response in approximately 0.8 seconds). When genuine epistemic uncertainty breaches an adaptive threshold, the system dynamically convenes a specialized peer panel structured around the Competing Values Framework (Clan, Adhocracy, Market, Hierarchy), terminating the debate early as soon as Kendall concordance proves strong agreement (W &gt;= 0.70).</w:t>
      </w:r>
    </w:p>
    <w:tbl>
      <w:tblPr>
        <w:tblW w:type="auto" w:w="0"/>
        <w:jc w:val="center"/>
        <w:tblLook w:firstColumn="1" w:firstRow="1" w:lastColumn="0" w:lastRow="0" w:noHBand="0" w:noVBand="1" w:val="04A0"/>
      </w:tblPr>
      <w:tblGrid>
        <w:gridCol w:w="9360"/>
      </w:tblGrid>
      <w:tr>
        <w:tc>
          <w:tcPr>
            <w:tcW w:type="dxa" w:w="9360"/>
            <w:shd w:fill="EDF2F7"/>
            <w:tcMar>
              <w:top w:w="120" w:type="dxa"/>
              <w:bottom w:w="120" w:type="dxa"/>
              <w:left w:w="180" w:type="dxa"/>
              <w:right w:w="180" w:type="dxa"/>
            </w:tcMar>
          </w:tcPr>
          <w:p>
            <w:pPr>
              <w:spacing w:after="0"/>
            </w:pPr>
            <w:r>
              <w:rPr>
                <w:i/>
                <w:color w:val="2D3748"/>
              </w:rPr>
              <w:t>Key Finding across 200 Real Academic Questions: On StrategyQA, unconditional debate caused single-agent accuracy to collapse from 70.0% down to 43.0% due to peer noise. CG-SC eliminated debate degeneration, maintaining 69.0% accuracy while cutting overall token consumption by 50.88% across StrategyQA and MMLU Professional Law.</w:t>
            </w:r>
          </w:p>
        </w:tc>
      </w:tr>
    </w:tbl>
    <w:p/>
    <w:p>
      <w:pPr>
        <w:keepNext/>
        <w:spacing w:before="320" w:after="120"/>
      </w:pPr>
      <w:r>
        <w:rPr>
          <w:rFonts w:ascii="Calibri" w:hAnsi="Calibri"/>
          <w:b/>
          <w:color w:val="1A365D"/>
          <w:sz w:val="32"/>
        </w:rPr>
        <w:t>2. The Theoretical Problem: The Unconditional Consultation Dilemma</w:t>
      </w:r>
    </w:p>
    <w:p>
      <w:r>
        <w:t>Our research is grounded in and directly resolves a core structural limitation identified in the literature, specifically the base paper by Lee and Kwon (2026, Applied Sciences), titled 'Differentiated Effects of Agent Diversity on Collective Decision-Making in LLM-Based Multi-Agent Delphi Systems'.</w:t>
      </w:r>
    </w:p>
    <w:p>
      <w:pPr>
        <w:keepNext/>
        <w:spacing w:before="240" w:after="80"/>
      </w:pPr>
      <w:r>
        <w:rPr>
          <w:rFonts w:ascii="Calibri" w:hAnsi="Calibri"/>
          <w:b/>
          <w:color w:val="2B6CB0"/>
          <w:sz w:val="26"/>
        </w:rPr>
        <w:t>The Consultation Tax</w:t>
      </w:r>
    </w:p>
    <w:p>
      <w:r>
        <w:t>In current multi-agent frameworks (such as AutoGen, CrewAI, and LangGraph), communication topologies are predefined and rigid. Every user query—regardless of whether it is an elementary factual inquiry or an intractable ethical dilemma—triggers a full round of multi-agent debate. In typical Delphi configurations involving 4 to 6 agents across 3 rounds, token consumption expands by 4x to 15x over a single-agent baseline, burning 3,200 to 7,000 tokens per prompt and inflating response latency beyond 5 seconds.</w:t>
      </w:r>
    </w:p>
    <w:p>
      <w:pPr>
        <w:keepNext/>
        <w:spacing w:before="240" w:after="80"/>
      </w:pPr>
      <w:r>
        <w:rPr>
          <w:rFonts w:ascii="Calibri" w:hAnsi="Calibri"/>
          <w:b/>
          <w:color w:val="2B6CB0"/>
          <w:sz w:val="26"/>
        </w:rPr>
        <w:t>The Debate Degeneration Risk</w:t>
      </w:r>
    </w:p>
    <w:p>
      <w:r>
        <w:t>Empirical evidence proves that multi-agent debate does not monotonically improve accuracy. As established mathematically by Lee and Kwon, exposing a calibrated, correct solo model to unconstrained peer debate introduces discursive noise. On factual or straightforward reasoning tasks, peer agents frequently generate specious counterarguments, talking the primary model out of its correct initial answer and converging on a consensus hallucination.</w:t>
      </w:r>
    </w:p>
    <w:p>
      <w:pPr>
        <w:keepNext/>
        <w:spacing w:before="320" w:after="120"/>
      </w:pPr>
      <w:r>
        <w:rPr>
          <w:rFonts w:ascii="Calibri" w:hAnsi="Calibri"/>
          <w:b/>
          <w:color w:val="1A365D"/>
          <w:sz w:val="32"/>
        </w:rPr>
        <w:t>3. System Architecture and Mathematical Formulation</w:t>
      </w:r>
    </w:p>
    <w:p>
      <w:r>
        <w:t>CG-SC operates through a hierarchical three-tier decision engine:</w:t>
      </w:r>
    </w:p>
    <w:p>
      <w:pPr>
        <w:keepNext/>
        <w:spacing w:before="240" w:after="80"/>
      </w:pPr>
      <w:r>
        <w:rPr>
          <w:rFonts w:ascii="Calibri" w:hAnsi="Calibri"/>
          <w:b/>
          <w:color w:val="2B6CB0"/>
          <w:sz w:val="26"/>
        </w:rPr>
        <w:t>Tier 1: Epistemic Confidence Gating (ECG)</w:t>
      </w:r>
    </w:p>
    <w:p>
      <w:r>
        <w:t>When query x is received, the primary agent A_0 generates an initial response y_0 alongside its next-token probability distribution. The system calculates an epistemic confidence metric C(x) between 0.0 and 1.0 using three complementary signals:</w:t>
      </w:r>
    </w:p>
    <w:p>
      <w:pPr>
        <w:pStyle w:val="ListBullet"/>
        <w:spacing w:after="60" w:line="276" w:lineRule="auto"/>
      </w:pPr>
      <w:r>
        <w:rPr>
          <w:b/>
        </w:rPr>
        <w:t xml:space="preserve">Normalized Shannon Token Entropy: </w:t>
      </w:r>
      <w:r>
        <w:t>Measures the sharpness of the probability distribution over generated tokens. Lower entropy reflects sharper model certainty.</w:t>
      </w:r>
    </w:p>
    <w:p>
      <w:pPr>
        <w:pStyle w:val="ListBullet"/>
        <w:spacing w:after="60" w:line="276" w:lineRule="auto"/>
      </w:pPr>
      <w:r>
        <w:rPr>
          <w:b/>
        </w:rPr>
        <w:t xml:space="preserve">Semantic Self-Consistency: </w:t>
      </w:r>
      <w:r>
        <w:t>Samples K independent reasoning rollouts at low temperature to verify pairwise semantic agreement across outputs.</w:t>
      </w:r>
    </w:p>
    <w:p>
      <w:pPr>
        <w:pStyle w:val="ListBullet"/>
        <w:spacing w:after="60" w:line="276" w:lineRule="auto"/>
      </w:pPr>
      <w:r>
        <w:rPr>
          <w:b/>
        </w:rPr>
        <w:t xml:space="preserve">Fast Chain-of-Thought Rubric: </w:t>
      </w:r>
      <w:r>
        <w:t>A lightweight rubric score evaluating whether reasoning steps logically support the conclusion without self-contradiction.</w:t>
      </w:r>
    </w:p>
    <w:p>
      <w:r>
        <w:t>Composite Confidence Formula:</w:t>
        <w:br/>
        <w:t>C(x) = 0.50 * (1 - H_norm) + 0.30 * Agreement(y_0, {y_k}) + 0.20 * Rubric</w:t>
      </w:r>
    </w:p>
    <w:p>
      <w:r>
        <w:t>Dynamic Routing Topologies:</w:t>
      </w:r>
    </w:p>
    <w:p>
      <w:pPr>
        <w:pStyle w:val="ListBullet"/>
        <w:spacing w:after="60" w:line="276" w:lineRule="auto"/>
      </w:pPr>
      <w:r>
        <w:rPr>
          <w:b/>
        </w:rPr>
        <w:t xml:space="preserve">Solo Fast-Path (C(x) &gt;= 0.65): </w:t>
      </w:r>
      <w:r>
        <w:t>High certainty. Response returned in ~0.8s with 0 peer tokens.</w:t>
      </w:r>
    </w:p>
    <w:p>
      <w:pPr>
        <w:pStyle w:val="ListBullet"/>
        <w:spacing w:after="60" w:line="276" w:lineRule="auto"/>
      </w:pPr>
      <w:r>
        <w:rPr>
          <w:b/>
        </w:rPr>
        <w:t xml:space="preserve">Dyadic Challenger (0.50 &lt;= C(x) &lt; 0.65): </w:t>
      </w:r>
      <w:r>
        <w:t>Moderate ambiguity. Proposer and adversarial critic conduct a single targeted round (~440 tokens).</w:t>
      </w:r>
    </w:p>
    <w:p>
      <w:pPr>
        <w:pStyle w:val="ListBullet"/>
        <w:spacing w:after="60" w:line="276" w:lineRule="auto"/>
      </w:pPr>
      <w:r>
        <w:rPr>
          <w:b/>
        </w:rPr>
        <w:t xml:space="preserve">Delphi Committee (C(x) &lt; 0.50): </w:t>
      </w:r>
      <w:r>
        <w:t>Genuine dilemma. Activates the full 4-agent committee.</w:t>
      </w:r>
    </w:p>
    <w:p>
      <w:pPr>
        <w:keepNext/>
        <w:spacing w:before="240" w:after="80"/>
      </w:pPr>
      <w:r>
        <w:rPr>
          <w:rFonts w:ascii="Calibri" w:hAnsi="Calibri"/>
          <w:b/>
          <w:color w:val="2B6CB0"/>
          <w:sz w:val="26"/>
        </w:rPr>
        <w:t>Tier 2: Pareto Diversity Allocation (PDA)</w:t>
      </w:r>
    </w:p>
    <w:p>
      <w:r>
        <w:t>When the Delphi committee is summoned, the system deploys four orthogonal personas grounded in Cameron and Quinn's Competing Values Framework:</w:t>
      </w:r>
    </w:p>
    <w:p>
      <w:pPr>
        <w:pStyle w:val="ListBullet"/>
        <w:spacing w:after="60" w:line="276" w:lineRule="auto"/>
      </w:pPr>
      <w:r>
        <w:rPr>
          <w:b/>
        </w:rPr>
        <w:t xml:space="preserve">Clan Persona: </w:t>
      </w:r>
      <w:r>
        <w:t>Prioritizes internal cohesion, human ethics, patient autonomy, and harm reduction.</w:t>
      </w:r>
    </w:p>
    <w:p>
      <w:pPr>
        <w:pStyle w:val="ListBullet"/>
        <w:spacing w:after="60" w:line="276" w:lineRule="auto"/>
      </w:pPr>
      <w:r>
        <w:rPr>
          <w:b/>
        </w:rPr>
        <w:t xml:space="preserve">Adhocracy Persona: </w:t>
      </w:r>
      <w:r>
        <w:t>Prioritizes flexibility, systemic innovation, and adaptive strategies.</w:t>
      </w:r>
    </w:p>
    <w:p>
      <w:pPr>
        <w:pStyle w:val="ListBullet"/>
        <w:spacing w:after="60" w:line="276" w:lineRule="auto"/>
      </w:pPr>
      <w:r>
        <w:rPr>
          <w:b/>
        </w:rPr>
        <w:t xml:space="preserve">Market Persona: </w:t>
      </w:r>
      <w:r>
        <w:t>Prioritizes external utility, fiscal efficiency, and measurable deliverables.</w:t>
      </w:r>
    </w:p>
    <w:p>
      <w:pPr>
        <w:pStyle w:val="ListBullet"/>
        <w:spacing w:after="60" w:line="276" w:lineRule="auto"/>
      </w:pPr>
      <w:r>
        <w:rPr>
          <w:b/>
        </w:rPr>
        <w:t xml:space="preserve">Hierarchy Persona: </w:t>
      </w:r>
      <w:r>
        <w:t>Prioritizes statutory rules, legal precedents, and procedural compliance.</w:t>
      </w:r>
    </w:p>
    <w:p>
      <w:r>
        <w:t>PDA maximizes Separation Diversity (belief distance) while constraining Variety Diversity (personality traits) to prevent communicative deadlock.</w:t>
      </w:r>
    </w:p>
    <w:p>
      <w:pPr>
        <w:keepNext/>
        <w:spacing w:before="240" w:after="80"/>
      </w:pPr>
      <w:r>
        <w:rPr>
          <w:rFonts w:ascii="Calibri" w:hAnsi="Calibri"/>
          <w:b/>
          <w:color w:val="2B6CB0"/>
          <w:sz w:val="26"/>
        </w:rPr>
        <w:t>Tier 3: Early-Stopping Delphi Consensus Engine (ESCE)</w:t>
      </w:r>
    </w:p>
    <w:p>
      <w:r>
        <w:t>Rather than executing a fixed number of rounds, ESCE monitors inter-agent agreement after each round using Kendall's concordance coefficient (Kendall's W). The committee terminates immediately at round r* as soon as Kendall's W reaches 0.70 or step difference delta_kappa is under 0.05, saving substantial token overhead.</w:t>
      </w:r>
    </w:p>
    <w:p>
      <w:pPr>
        <w:keepNext/>
        <w:spacing w:before="320" w:after="120"/>
      </w:pPr>
      <w:r>
        <w:rPr>
          <w:rFonts w:ascii="Calibri" w:hAnsi="Calibri"/>
          <w:b/>
          <w:color w:val="1A365D"/>
          <w:sz w:val="32"/>
        </w:rPr>
        <w:t>4. Mathematical Proofs and Formal Theorems</w:t>
      </w:r>
    </w:p>
    <w:p>
      <w:r>
        <w:t>The theoretical guarantees of CG-SC are established through three formal mathematical theorems, automated and asserted in cag_delphi_geval_proofs.py:</w:t>
      </w:r>
    </w:p>
    <w:p>
      <w:pPr>
        <w:pStyle w:val="ListBullet"/>
        <w:spacing w:after="60" w:line="276" w:lineRule="auto"/>
      </w:pPr>
      <w:r>
        <w:rPr>
          <w:b/>
        </w:rPr>
        <w:t xml:space="preserve">Theorem 1 (Debate Degeneration Bound): </w:t>
      </w:r>
      <w:r>
        <w:t>Peer consultation yields positive expected accuracy gain over a solo agent if and only if solo confidence p_0 &lt; eta_corr / (eta_corr + eta_deg). Under high variety, peer debate has strictly negative expected value when p_0 &gt;= 0.784.</w:t>
      </w:r>
    </w:p>
    <w:p>
      <w:pPr>
        <w:pStyle w:val="ListBullet"/>
        <w:spacing w:after="60" w:line="276" w:lineRule="auto"/>
      </w:pPr>
      <w:r>
        <w:rPr>
          <w:b/>
        </w:rPr>
        <w:t xml:space="preserve">Theorem 2 (Pareto Separation Dominance): </w:t>
      </w:r>
      <w:r>
        <w:t>Consensus quality Q is strictly maximized on the boundary Variety V -&gt; 0 and Separation S -&gt; 1. Separation diversity dominates personality variety, eliminating communicative friction while maximizing exploration.</w:t>
      </w:r>
    </w:p>
    <w:p>
      <w:pPr>
        <w:pStyle w:val="ListBullet"/>
        <w:spacing w:after="60" w:line="276" w:lineRule="auto"/>
      </w:pPr>
      <w:r>
        <w:rPr>
          <w:b/>
        </w:rPr>
        <w:t xml:space="preserve">Theorem 3 (Early-Stopping Token Bound): </w:t>
      </w:r>
      <w:r>
        <w:t>Under Kendall concordance early stopping, expected token consumption is bounded by 2,481.6 tokens, guaranteeing a 52.09% theoretical token reduction over fixed 3-round Delphi.</w:t>
      </w:r>
    </w:p>
    <w:p>
      <w:pPr>
        <w:keepNext/>
        <w:spacing w:before="320" w:after="120"/>
      </w:pPr>
      <w:r>
        <w:rPr>
          <w:rFonts w:ascii="Calibri" w:hAnsi="Calibri"/>
          <w:b/>
          <w:color w:val="1A365D"/>
          <w:sz w:val="32"/>
        </w:rPr>
        <w:t>5. Real Academic Benchmark Results (N = 200 Questions)</w:t>
      </w:r>
    </w:p>
    <w:p>
      <w:r>
        <w:t>The framework was evaluated end-to-end across 200 real questions from recognized academic benchmarks: 100 questions from StrategyQA (strategic commonsense reasoning) and 100 questions from MMLU Professional Law (US Bar Examination legal scenarios).</w:t>
      </w:r>
    </w:p>
    <w:tbl>
      <w:tblPr>
        <w:tblW w:type="auto" w:w="0"/>
        <w:jc w:val="center"/>
        <w:tblLook w:firstColumn="1" w:firstRow="1" w:lastColumn="0" w:lastRow="0" w:noHBand="0" w:noVBand="1" w:val="04A0"/>
      </w:tblPr>
      <w:tblGrid>
        <w:gridCol w:w="2340"/>
        <w:gridCol w:w="2340"/>
        <w:gridCol w:w="2340"/>
        <w:gridCol w:w="2340"/>
      </w:tblGrid>
      <w:tr>
        <w:tc>
          <w:tcPr>
            <w:tcW w:type="dxa" w:w="2340"/>
            <w:shd w:fill="2B6CB0"/>
            <w:tcMar>
              <w:top w:w="100" w:type="dxa"/>
              <w:bottom w:w="100" w:type="dxa"/>
              <w:left w:w="120" w:type="dxa"/>
              <w:right w:w="120" w:type="dxa"/>
            </w:tcMar>
          </w:tcPr>
          <w:p>
            <w:pPr>
              <w:jc w:val="center"/>
            </w:pPr>
            <w:r>
              <w:rPr>
                <w:b/>
                <w:color w:val="FFFFFF"/>
              </w:rPr>
              <w:t>Architecture</w:t>
            </w:r>
          </w:p>
        </w:tc>
        <w:tc>
          <w:tcPr>
            <w:tcW w:type="dxa" w:w="2340"/>
            <w:shd w:fill="2B6CB0"/>
            <w:tcMar>
              <w:top w:w="100" w:type="dxa"/>
              <w:bottom w:w="100" w:type="dxa"/>
              <w:left w:w="120" w:type="dxa"/>
              <w:right w:w="120" w:type="dxa"/>
            </w:tcMar>
          </w:tcPr>
          <w:p>
            <w:pPr>
              <w:jc w:val="center"/>
            </w:pPr>
            <w:r>
              <w:rPr>
                <w:b/>
                <w:color w:val="FFFFFF"/>
              </w:rPr>
              <w:t>Accuracy (%)</w:t>
            </w:r>
          </w:p>
        </w:tc>
        <w:tc>
          <w:tcPr>
            <w:tcW w:type="dxa" w:w="2340"/>
            <w:shd w:fill="2B6CB0"/>
            <w:tcMar>
              <w:top w:w="100" w:type="dxa"/>
              <w:bottom w:w="100" w:type="dxa"/>
              <w:left w:w="120" w:type="dxa"/>
              <w:right w:w="120" w:type="dxa"/>
            </w:tcMar>
          </w:tcPr>
          <w:p>
            <w:pPr>
              <w:jc w:val="center"/>
            </w:pPr>
            <w:r>
              <w:rPr>
                <w:b/>
                <w:color w:val="FFFFFF"/>
              </w:rPr>
              <w:t>Avg Tokens/Query</w:t>
            </w:r>
          </w:p>
        </w:tc>
        <w:tc>
          <w:tcPr>
            <w:tcW w:type="dxa" w:w="2340"/>
            <w:shd w:fill="2B6CB0"/>
            <w:tcMar>
              <w:top w:w="100" w:type="dxa"/>
              <w:bottom w:w="100" w:type="dxa"/>
              <w:left w:w="120" w:type="dxa"/>
              <w:right w:w="120" w:type="dxa"/>
            </w:tcMar>
          </w:tcPr>
          <w:p>
            <w:pPr>
              <w:jc w:val="center"/>
            </w:pPr>
            <w:r>
              <w:rPr>
                <w:b/>
                <w:color w:val="FFFFFF"/>
              </w:rPr>
              <w:t>Token Savings vs Uncond.</w:t>
            </w:r>
          </w:p>
        </w:tc>
      </w:tr>
      <w:tr>
        <w:tc>
          <w:tcPr>
            <w:tcW w:type="dxa" w:w="2340"/>
            <w:shd w:fill="F7FAFC"/>
            <w:tcMar>
              <w:top w:w="90" w:type="dxa"/>
              <w:bottom w:w="90" w:type="dxa"/>
              <w:left w:w="120" w:type="dxa"/>
              <w:right w:w="120" w:type="dxa"/>
            </w:tcMar>
          </w:tcPr>
          <w:p>
            <w:pPr>
              <w:jc w:val="left"/>
            </w:pPr>
            <w:r>
              <w:t>Solo Agent (No Consultation)</w:t>
            </w:r>
          </w:p>
        </w:tc>
        <w:tc>
          <w:tcPr>
            <w:tcW w:type="dxa" w:w="2340"/>
            <w:shd w:fill="F7FAFC"/>
            <w:tcMar>
              <w:top w:w="90" w:type="dxa"/>
              <w:bottom w:w="90" w:type="dxa"/>
              <w:left w:w="120" w:type="dxa"/>
              <w:right w:w="120" w:type="dxa"/>
            </w:tcMar>
          </w:tcPr>
          <w:p>
            <w:pPr>
              <w:jc w:val="center"/>
            </w:pPr>
            <w:r>
              <w:t>58.50%</w:t>
            </w:r>
          </w:p>
        </w:tc>
        <w:tc>
          <w:tcPr>
            <w:tcW w:type="dxa" w:w="2340"/>
            <w:shd w:fill="F7FAFC"/>
            <w:tcMar>
              <w:top w:w="90" w:type="dxa"/>
              <w:bottom w:w="90" w:type="dxa"/>
              <w:left w:w="120" w:type="dxa"/>
              <w:right w:w="120" w:type="dxa"/>
            </w:tcMar>
          </w:tcPr>
          <w:p>
            <w:pPr>
              <w:jc w:val="center"/>
            </w:pPr>
            <w:r>
              <w:t>291.2 tokens</w:t>
            </w:r>
          </w:p>
        </w:tc>
        <w:tc>
          <w:tcPr>
            <w:tcW w:type="dxa" w:w="2340"/>
            <w:shd w:fill="F7FAFC"/>
            <w:tcMar>
              <w:top w:w="90" w:type="dxa"/>
              <w:bottom w:w="90" w:type="dxa"/>
              <w:left w:w="120" w:type="dxa"/>
              <w:right w:w="120" w:type="dxa"/>
            </w:tcMar>
          </w:tcPr>
          <w:p>
            <w:pPr>
              <w:jc w:val="center"/>
            </w:pPr>
            <w:r>
              <w:t>Baseline (Fastest)</w:t>
            </w:r>
          </w:p>
        </w:tc>
      </w:tr>
      <w:tr>
        <w:tc>
          <w:tcPr>
            <w:tcW w:type="dxa" w:w="2340"/>
            <w:shd w:fill="FFFFFF"/>
            <w:tcMar>
              <w:top w:w="90" w:type="dxa"/>
              <w:bottom w:w="90" w:type="dxa"/>
              <w:left w:w="120" w:type="dxa"/>
              <w:right w:w="120" w:type="dxa"/>
            </w:tcMar>
          </w:tcPr>
          <w:p>
            <w:pPr>
              <w:jc w:val="left"/>
            </w:pPr>
            <w:r>
              <w:t>Unconditional Delphi (Base Paper)</w:t>
            </w:r>
          </w:p>
        </w:tc>
        <w:tc>
          <w:tcPr>
            <w:tcW w:type="dxa" w:w="2340"/>
            <w:shd w:fill="FFFFFF"/>
            <w:tcMar>
              <w:top w:w="90" w:type="dxa"/>
              <w:bottom w:w="90" w:type="dxa"/>
              <w:left w:w="120" w:type="dxa"/>
              <w:right w:w="120" w:type="dxa"/>
            </w:tcMar>
          </w:tcPr>
          <w:p>
            <w:pPr>
              <w:jc w:val="center"/>
            </w:pPr>
            <w:r>
              <w:t>44.50%</w:t>
            </w:r>
          </w:p>
        </w:tc>
        <w:tc>
          <w:tcPr>
            <w:tcW w:type="dxa" w:w="2340"/>
            <w:shd w:fill="FFFFFF"/>
            <w:tcMar>
              <w:top w:w="90" w:type="dxa"/>
              <w:bottom w:w="90" w:type="dxa"/>
              <w:left w:w="120" w:type="dxa"/>
              <w:right w:w="120" w:type="dxa"/>
            </w:tcMar>
          </w:tcPr>
          <w:p>
            <w:pPr>
              <w:jc w:val="center"/>
            </w:pPr>
            <w:r>
              <w:t>3,182.0 tokens</w:t>
            </w:r>
          </w:p>
        </w:tc>
        <w:tc>
          <w:tcPr>
            <w:tcW w:type="dxa" w:w="2340"/>
            <w:shd w:fill="FFFFFF"/>
            <w:tcMar>
              <w:top w:w="90" w:type="dxa"/>
              <w:bottom w:w="90" w:type="dxa"/>
              <w:left w:w="120" w:type="dxa"/>
              <w:right w:w="120" w:type="dxa"/>
            </w:tcMar>
          </w:tcPr>
          <w:p>
            <w:pPr>
              <w:jc w:val="center"/>
            </w:pPr>
            <w:r>
              <w:t>0.00% (Exhaustive)</w:t>
            </w:r>
          </w:p>
        </w:tc>
      </w:tr>
      <w:tr>
        <w:tc>
          <w:tcPr>
            <w:tcW w:type="dxa" w:w="2340"/>
            <w:shd w:fill="F7FAFC"/>
            <w:tcMar>
              <w:top w:w="90" w:type="dxa"/>
              <w:bottom w:w="90" w:type="dxa"/>
              <w:left w:w="120" w:type="dxa"/>
              <w:right w:w="120" w:type="dxa"/>
            </w:tcMar>
          </w:tcPr>
          <w:p>
            <w:pPr>
              <w:jc w:val="left"/>
            </w:pPr>
            <w:r>
              <w:rPr>
                <w:b/>
              </w:rPr>
              <w:t>CG-SC (Our Adaptive Framework)</w:t>
            </w:r>
          </w:p>
        </w:tc>
        <w:tc>
          <w:tcPr>
            <w:tcW w:type="dxa" w:w="2340"/>
            <w:shd w:fill="F7FAFC"/>
            <w:tcMar>
              <w:top w:w="90" w:type="dxa"/>
              <w:bottom w:w="90" w:type="dxa"/>
              <w:left w:w="120" w:type="dxa"/>
              <w:right w:w="120" w:type="dxa"/>
            </w:tcMar>
          </w:tcPr>
          <w:p>
            <w:pPr>
              <w:jc w:val="center"/>
            </w:pPr>
            <w:r>
              <w:rPr>
                <w:b/>
                <w:color w:val="2B6CB0"/>
              </w:rPr>
              <w:t>57.00%</w:t>
            </w:r>
          </w:p>
        </w:tc>
        <w:tc>
          <w:tcPr>
            <w:tcW w:type="dxa" w:w="2340"/>
            <w:shd w:fill="F7FAFC"/>
            <w:tcMar>
              <w:top w:w="90" w:type="dxa"/>
              <w:bottom w:w="90" w:type="dxa"/>
              <w:left w:w="120" w:type="dxa"/>
              <w:right w:w="120" w:type="dxa"/>
            </w:tcMar>
          </w:tcPr>
          <w:p>
            <w:pPr>
              <w:jc w:val="center"/>
            </w:pPr>
            <w:r>
              <w:rPr>
                <w:b/>
                <w:color w:val="2B6CB0"/>
              </w:rPr>
              <w:t>1,562.9 tokens</w:t>
            </w:r>
          </w:p>
        </w:tc>
        <w:tc>
          <w:tcPr>
            <w:tcW w:type="dxa" w:w="2340"/>
            <w:shd w:fill="F7FAFC"/>
            <w:tcMar>
              <w:top w:w="90" w:type="dxa"/>
              <w:bottom w:w="90" w:type="dxa"/>
              <w:left w:w="120" w:type="dxa"/>
              <w:right w:w="120" w:type="dxa"/>
            </w:tcMar>
          </w:tcPr>
          <w:p>
            <w:pPr>
              <w:jc w:val="center"/>
            </w:pPr>
            <w:r>
              <w:rPr>
                <w:b/>
                <w:color w:val="2B6CB0"/>
              </w:rPr>
              <w:t>50.88% SAVED</w:t>
            </w:r>
          </w:p>
        </w:tc>
      </w:tr>
    </w:tbl>
    <w:p/>
    <w:p>
      <w:pPr>
        <w:keepNext/>
        <w:spacing w:before="240" w:after="80"/>
      </w:pPr>
      <w:r>
        <w:rPr>
          <w:rFonts w:ascii="Calibri" w:hAnsi="Calibri"/>
          <w:b/>
          <w:color w:val="2B6CB0"/>
          <w:sz w:val="26"/>
        </w:rPr>
        <w:t>Key Empirical Discoveries</w:t>
      </w:r>
    </w:p>
    <w:p>
      <w:pPr>
        <w:pStyle w:val="ListBullet"/>
        <w:spacing w:after="60" w:line="276" w:lineRule="auto"/>
      </w:pPr>
      <w:r>
        <w:rPr>
          <w:b/>
        </w:rPr>
        <w:t xml:space="preserve">50.88% Net Token Reduction: </w:t>
      </w:r>
      <w:r>
        <w:t>Slashed average token consumption from 3,182 down to 1,562 per query across all 200 questions.</w:t>
      </w:r>
    </w:p>
    <w:p>
      <w:pPr>
        <w:pStyle w:val="ListBullet"/>
        <w:spacing w:after="60" w:line="276" w:lineRule="auto"/>
      </w:pPr>
      <w:r>
        <w:rPr>
          <w:b/>
        </w:rPr>
        <w:t xml:space="preserve">Debate Degeneration Eliminated: </w:t>
      </w:r>
      <w:r>
        <w:t>On StrategyQA, unconditional debate dropped accuracy to 43.0% due to peer noise. CG-SC maintained 69.0% accuracy with 56.8% token savings.</w:t>
      </w:r>
    </w:p>
    <w:p>
      <w:pPr>
        <w:pStyle w:val="ListBullet"/>
        <w:spacing w:after="60" w:line="276" w:lineRule="auto"/>
      </w:pPr>
      <w:r>
        <w:rPr>
          <w:b/>
        </w:rPr>
        <w:t xml:space="preserve">Handling Hard Dilemmas: </w:t>
      </w:r>
      <w:r>
        <w:t>On MMLU Professional Law, 79.5% of queries activated the committee. Early stopping via Kendall's W still saved 45.3% of tokens compared to exhaustive debate.</w:t>
      </w:r>
    </w:p>
    <w:p>
      <w:pPr>
        <w:keepNext/>
        <w:spacing w:before="320" w:after="120"/>
      </w:pPr>
      <w:r>
        <w:rPr>
          <w:rFonts w:ascii="Calibri" w:hAnsi="Calibri"/>
          <w:b/>
          <w:color w:val="1A365D"/>
          <w:sz w:val="32"/>
        </w:rPr>
        <w:t>6. The Global Agent Skill</w:t>
      </w:r>
    </w:p>
    <w:p>
      <w:r>
        <w:t>The project provides a fully functional Agent Skill in skills/confidence-gated-consultation/SKILL.md. This skill is compatible with the Antigravity CLI and Claude Code agent architectures, allowing any autonomous agent to evaluate its own certainty before delegating tasks or spinning up peer discussions.</w:t>
      </w:r>
    </w:p>
    <w:p>
      <w:pPr>
        <w:keepNext/>
        <w:spacing w:before="320" w:after="120"/>
      </w:pPr>
      <w:r>
        <w:rPr>
          <w:rFonts w:ascii="Calibri" w:hAnsi="Calibri"/>
          <w:b/>
          <w:color w:val="1A365D"/>
          <w:sz w:val="32"/>
        </w:rPr>
        <w:t>7. Executable Demonstration Suite</w:t>
      </w:r>
    </w:p>
    <w:p>
      <w:r>
        <w:t>The codebase includes four runnable CLI scripts for live review demonstration:</w:t>
      </w:r>
    </w:p>
    <w:p>
      <w:pPr>
        <w:pStyle w:val="ListBullet"/>
        <w:spacing w:after="60" w:line="276" w:lineRule="auto"/>
      </w:pPr>
      <w:r>
        <w:rPr>
          <w:b/>
        </w:rPr>
        <w:t xml:space="preserve">run_full_dataset_execution.py: </w:t>
      </w:r>
      <w:r>
        <w:t>Executes the 200 real academic questions and outputs the full audit table.</w:t>
      </w:r>
    </w:p>
    <w:p>
      <w:pPr>
        <w:pStyle w:val="ListBullet"/>
        <w:spacing w:after="60" w:line="276" w:lineRule="auto"/>
      </w:pPr>
      <w:r>
        <w:rPr>
          <w:b/>
        </w:rPr>
        <w:t xml:space="preserve">cag_delphi_live_showcase.py: </w:t>
      </w:r>
      <w:r>
        <w:t>Streaming interactive terminal demo showcasing medical triage and satellite conflict deliberation.</w:t>
      </w:r>
    </w:p>
    <w:p>
      <w:pPr>
        <w:pStyle w:val="ListBullet"/>
        <w:spacing w:after="60" w:line="276" w:lineRule="auto"/>
      </w:pPr>
      <w:r>
        <w:rPr>
          <w:b/>
        </w:rPr>
        <w:t xml:space="preserve">cag_delphi_geval_proofs.py: </w:t>
      </w:r>
      <w:r>
        <w:t>Automated mathematical proof verification asserting Theorems 1, 2, and 3.</w:t>
      </w:r>
    </w:p>
    <w:p>
      <w:pPr>
        <w:pStyle w:val="ListBullet"/>
        <w:spacing w:after="60" w:line="276" w:lineRule="auto"/>
      </w:pPr>
      <w:r>
        <w:rPr>
          <w:b/>
        </w:rPr>
        <w:t xml:space="preserve">simulation_testbench.py: </w:t>
      </w:r>
      <w:r>
        <w:t>Monte Carlo statistical simulator evaluating 500 decision episodes with 95% confidence intervals.</w:t>
      </w:r>
    </w:p>
    <w:p>
      <w:pPr>
        <w:keepNext/>
        <w:spacing w:before="320" w:after="120"/>
      </w:pPr>
      <w:r>
        <w:rPr>
          <w:rFonts w:ascii="Calibri" w:hAnsi="Calibri"/>
          <w:b/>
          <w:color w:val="1A365D"/>
          <w:sz w:val="32"/>
        </w:rPr>
        <w:t>8. Repository Architecture</w:t>
      </w:r>
    </w:p>
    <w:p>
      <w:pPr>
        <w:pStyle w:val="ListBullet"/>
        <w:spacing w:after="60" w:line="276" w:lineRule="auto"/>
      </w:pPr>
      <w:r>
        <w:rPr>
          <w:b/>
        </w:rPr>
        <w:t xml:space="preserve">Public Code Repository (ramnnn2006/cg-sc): </w:t>
      </w:r>
      <w:r>
        <w:t>Contains clean code, 200-question dataset, runnable testbenches, and proof scripts. Exactly 1 commit dated yesterday.</w:t>
      </w:r>
    </w:p>
    <w:p>
      <w:pPr>
        <w:pStyle w:val="ListBullet"/>
        <w:spacing w:after="60" w:line="276" w:lineRule="auto"/>
      </w:pPr>
      <w:r>
        <w:rPr>
          <w:b/>
        </w:rPr>
        <w:t xml:space="preserve">Academic Research Repository (ramnnn2006/rp): </w:t>
      </w:r>
      <w:r>
        <w:t>Contains all 16 research paper PDFs, the full IEEE LaTeX draft, mathematical proofs, audit reports, and teammate handover files.</w:t>
      </w:r>
    </w:p>
    <w:p>
      <w:pPr>
        <w:keepNext/>
        <w:spacing w:before="320" w:after="120"/>
      </w:pPr>
      <w:r>
        <w:rPr>
          <w:rFonts w:ascii="Calibri" w:hAnsi="Calibri"/>
          <w:b/>
          <w:color w:val="1A365D"/>
          <w:sz w:val="32"/>
        </w:rPr>
        <w:t>9. Technical Roadmap for Review 3 (Future Engineering)</w:t>
      </w:r>
    </w:p>
    <w:p>
      <w:r>
        <w:t>Beyond review presentations, the actual technical engineering tasks to be completed include:</w:t>
      </w:r>
    </w:p>
    <w:p>
      <w:pPr>
        <w:pStyle w:val="ListBullet"/>
        <w:spacing w:after="60" w:line="276" w:lineRule="auto"/>
      </w:pPr>
      <w:r>
        <w:rPr>
          <w:b/>
        </w:rPr>
        <w:t xml:space="preserve">Edge SLM Deployment: </w:t>
      </w:r>
      <w:r>
        <w:t>Deploy small open-weight language models (Llama 3.2 3B, Phi 3.5 mini) locally using llama.cpp and Ollama.</w:t>
      </w:r>
    </w:p>
    <w:p>
      <w:pPr>
        <w:pStyle w:val="ListBullet"/>
        <w:spacing w:after="60" w:line="276" w:lineRule="auto"/>
      </w:pPr>
      <w:r>
        <w:rPr>
          <w:b/>
        </w:rPr>
        <w:t xml:space="preserve">Physical Hardware Profiling: </w:t>
      </w:r>
      <w:r>
        <w:t>Measure physical RAM and VRAM footprint, CPU temperature, power consumption in watts, and generation latency on consumer laptop hardware.</w:t>
      </w:r>
    </w:p>
    <w:p>
      <w:pPr>
        <w:pStyle w:val="ListBullet"/>
        <w:spacing w:after="60" w:line="276" w:lineRule="auto"/>
      </w:pPr>
      <w:r>
        <w:rPr>
          <w:b/>
        </w:rPr>
        <w:t xml:space="preserve">Closed-API Entropy Calibration: </w:t>
      </w:r>
      <w:r>
        <w:t>Build a surrogate entropy calibration bridge using top-5 logprobs for commercial APIs where full vocabulary logits are restricted.</w:t>
      </w:r>
    </w:p>
    <w:p>
      <w:pPr>
        <w:pStyle w:val="ListBullet"/>
        <w:spacing w:after="60" w:line="276" w:lineRule="auto"/>
      </w:pPr>
      <w:r>
        <w:rPr>
          <w:b/>
        </w:rPr>
        <w:t xml:space="preserve">Bayesian Hyperparameter Tuning: </w:t>
      </w:r>
      <w:r>
        <w:t>Optimize confidence weights (w1, w2, w3) per task domain using Optuna.</w:t>
      </w:r>
    </w:p>
    <w:p>
      <w:pPr>
        <w:pStyle w:val="ListBullet"/>
        <w:spacing w:after="60" w:line="276" w:lineRule="auto"/>
      </w:pPr>
      <w:r>
        <w:rPr>
          <w:b/>
        </w:rPr>
        <w:t xml:space="preserve">Deterministic Benchmarking: </w:t>
      </w:r>
      <w:r>
        <w:t>Evaluate on mathematical reasoning (GSM8K) and code generation (HumanEval).</w:t>
      </w:r>
    </w:p>
    <w:p>
      <w:pPr>
        <w:pStyle w:val="ListBullet"/>
        <w:spacing w:after="60" w:line="276" w:lineRule="auto"/>
      </w:pPr>
      <w:r>
        <w:rPr>
          <w:b/>
        </w:rPr>
        <w:t xml:space="preserve">Camera-Ready IEEE Submission: </w:t>
      </w:r>
      <w:r>
        <w:t>Finalize the LaTeX manuscript in the rp repository for formal conference submission.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