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365D"/>
          <w:sz w:val="44"/>
        </w:rPr>
        <w:t>Personal Master Technical Reference Manual</w:t>
      </w:r>
    </w:p>
    <w:p>
      <w:pPr>
        <w:spacing w:after="280"/>
      </w:pPr>
      <w:r>
        <w:rPr>
          <w:i/>
          <w:color w:val="4A5568"/>
          <w:sz w:val="24"/>
        </w:rPr>
        <w:t>Confidence-Gated Selective Consultation (CG-SC)</w:t>
        <w:br/>
        <w:t>Complete Code Logic, Dataset Origins, Mathematical Proofs, and 16-Paper Literature Critique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Public Implementation Repository: </w:t>
            </w:r>
            <w:r>
              <w:t>https://github.com/ramnnn2006/cg-sc</w:t>
              <w:br/>
            </w:r>
            <w:r>
              <w:rPr>
                <w:b/>
              </w:rPr>
              <w:t xml:space="preserve">Internal Academic Vault: </w:t>
            </w:r>
            <w:r>
              <w:t>https://github.com/ramnnn2006/rp</w:t>
              <w:br/>
            </w:r>
            <w:r>
              <w:rPr>
                <w:b/>
              </w:rPr>
              <w:t xml:space="preserve">Target: </w:t>
            </w:r>
            <w:r>
              <w:t>Review 2 Comprehensive Defense &amp; IEEE Conference Submission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1. Codebase Execution and Internal Script Architectures</w:t>
      </w:r>
    </w:p>
    <w:p>
      <w:r>
        <w:t>All runnable production scripts live in ramnnn2006/cg-sc and are mirrored in ramnnn2006/rp.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Script 1: run_full_dataset_execution.py (337 lines)</w:t>
      </w:r>
    </w:p>
    <w:p>
      <w:r>
        <w:t>The main empirical execution engine that evaluates 200 real questions across Solo, Unconditional Delphi, and CG-SC.</w:t>
      </w:r>
    </w:p>
    <w:p>
      <w:pPr>
        <w:pStyle w:val="ListBullet"/>
        <w:spacing w:after="60"/>
      </w:pPr>
      <w:r>
        <w:rPr>
          <w:b/>
        </w:rPr>
        <w:t xml:space="preserve">Command: </w:t>
      </w:r>
      <w:r>
        <w:t>python3 run_full_dataset_execution.py</w:t>
      </w:r>
    </w:p>
    <w:p>
      <w:pPr>
        <w:pStyle w:val="ListBullet"/>
        <w:spacing w:after="60"/>
      </w:pPr>
      <w:r>
        <w:rPr>
          <w:b/>
        </w:rPr>
        <w:t xml:space="preserve">Execution Flow: </w:t>
      </w:r>
      <w:r>
        <w:t>Loads 200 questions, evaluates Solo baseline, evaluates 3-round Unconditional Delphi, evaluates CG-SC with dynamic gating, prints live progress, and updates audit tables.</w:t>
      </w:r>
    </w:p>
    <w:p>
      <w:pPr>
        <w:pStyle w:val="ListBullet"/>
        <w:spacing w:after="60"/>
      </w:pPr>
      <w:r>
        <w:rPr>
          <w:b/>
        </w:rPr>
        <w:t xml:space="preserve">Flags: </w:t>
      </w:r>
      <w:r>
        <w:t>--limit &lt;N&gt; (limit questions for quick tests), --tau &lt;val&gt; (sweep gating threshold).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Script 2: cag_delphi_live_showcase.py (174 lines)</w:t>
      </w:r>
    </w:p>
    <w:p>
      <w:r>
        <w:t>Interactive terminal demonstration displaying colored streaming reasoning traces for high-stakes dilemmas.</w:t>
      </w:r>
    </w:p>
    <w:p>
      <w:pPr>
        <w:pStyle w:val="ListBullet"/>
        <w:spacing w:after="60"/>
      </w:pPr>
      <w:r>
        <w:rPr>
          <w:b/>
        </w:rPr>
        <w:t xml:space="preserve">Command: </w:t>
      </w:r>
      <w:r>
        <w:t>python3 cag_delphi_live_showcase.py</w:t>
      </w:r>
    </w:p>
    <w:p>
      <w:pPr>
        <w:pStyle w:val="ListBullet"/>
        <w:spacing w:after="60"/>
      </w:pPr>
      <w:r>
        <w:rPr>
          <w:b/>
        </w:rPr>
        <w:t xml:space="preserve">Scenarios: </w:t>
      </w:r>
      <w:r>
        <w:t>Scenario 1: ICU Ventilator Triage. Scenario 2: Orbital Satellite Collision Avoidance. Watch the four personas debate and terminate early when Kendall's W crosses 0.70.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Script 3: cag_delphi_geval_proofs.py (134 lines)</w:t>
      </w:r>
    </w:p>
    <w:p>
      <w:r>
        <w:t>Automated mathematical proof assertions asserting Theorems 1, 2, and 3.</w:t>
      </w:r>
    </w:p>
    <w:p>
      <w:pPr>
        <w:pStyle w:val="ListBullet"/>
        <w:spacing w:after="60"/>
      </w:pPr>
      <w:r>
        <w:rPr>
          <w:b/>
        </w:rPr>
        <w:t xml:space="preserve">Command: </w:t>
      </w:r>
      <w:r>
        <w:t>python3 cag_delphi_geval_proofs.py</w:t>
      </w:r>
    </w:p>
    <w:p>
      <w:pPr>
        <w:pStyle w:val="ListBullet"/>
        <w:spacing w:after="60"/>
      </w:pPr>
      <w:r>
        <w:rPr>
          <w:b/>
        </w:rPr>
        <w:t xml:space="preserve">Output: </w:t>
      </w:r>
      <w:r>
        <w:t>Verifies Theorem 1 (Debate Degeneration Bound), Theorem 2 (Pareto Separation Dominance), and Theorem 3 (Token Bounds), printing [PASS] in one second.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Script 4: simulation_testbench.py (331 lines)</w:t>
      </w:r>
    </w:p>
    <w:p>
      <w:r>
        <w:t>Parametric Monte Carlo simulator testing 100 to 500 episodes with Beta-distributed task difficulty and 95% confidence intervals.</w:t>
      </w:r>
    </w:p>
    <w:p>
      <w:pPr>
        <w:pStyle w:val="ListBullet"/>
        <w:spacing w:after="60"/>
      </w:pPr>
      <w:r>
        <w:rPr>
          <w:b/>
        </w:rPr>
        <w:t xml:space="preserve">Command: </w:t>
      </w:r>
      <w:r>
        <w:t>python3 simulation_testbench.py --episodes 100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2. In-Depth Analysis of the Benchmark Datasets</w:t>
      </w:r>
    </w:p>
    <w:p>
      <w:r>
        <w:t>Stored at data/real_benchmarks/real_decision_benchmarks.jsonl containing 200 real questions.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StrategyQA (100 Questions)</w:t>
      </w:r>
    </w:p>
    <w:p>
      <w:r>
        <w:t>Citation: Segal et al. (TACL 2021). Multi-step commonsense deduction problems with implicit reasoning strategies.</w:t>
      </w:r>
    </w:p>
    <w:p>
      <w:pPr>
        <w:pStyle w:val="ListBullet"/>
        <w:spacing w:after="60"/>
      </w:pPr>
      <w:r>
        <w:rPr>
          <w:b/>
        </w:rPr>
        <w:t xml:space="preserve">Factual Nature: </w:t>
      </w:r>
      <w:r>
        <w:t>Answers have clear objective truths (Yes/No). Single models score 70.0%.</w:t>
      </w:r>
    </w:p>
    <w:p>
      <w:pPr>
        <w:pStyle w:val="ListBullet"/>
        <w:spacing w:after="60"/>
      </w:pPr>
      <w:r>
        <w:rPr>
          <w:b/>
        </w:rPr>
        <w:t xml:space="preserve">Debate Degeneration Trigger: </w:t>
      </w:r>
      <w:r>
        <w:t>Forcing debate introduces peer contrarian noise. Agents doubt basic facts, collapsing accuracy to 43.0% in the base paper.</w:t>
      </w:r>
    </w:p>
    <w:p>
      <w:pPr>
        <w:pStyle w:val="ListBullet"/>
        <w:spacing w:after="60"/>
      </w:pPr>
      <w:r>
        <w:rPr>
          <w:b/>
        </w:rPr>
        <w:t xml:space="preserve">CG-SC Solution: </w:t>
      </w:r>
      <w:r>
        <w:t>Confidence gating shields factual queries, preserving 69.0% accuracy with 56.8% token savings.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MMLU Professional Law (100 Questions)</w:t>
      </w:r>
    </w:p>
    <w:p>
      <w:r>
        <w:t>Citation: Hendrycks et al. (ICLR 2021). Real Multistate Bar Examination scenarios covering torts, contracts, and constitutional law.</w:t>
      </w:r>
    </w:p>
    <w:p>
      <w:pPr>
        <w:pStyle w:val="ListBullet"/>
        <w:spacing w:after="60"/>
      </w:pPr>
      <w:r>
        <w:rPr>
          <w:b/>
        </w:rPr>
        <w:t xml:space="preserve">Ambiguous Nature: </w:t>
      </w:r>
      <w:r>
        <w:t>Inherently complex and multi-faceted. Single models only score 47.0%.</w:t>
      </w:r>
    </w:p>
    <w:p>
      <w:pPr>
        <w:pStyle w:val="ListBullet"/>
        <w:spacing w:after="60"/>
      </w:pPr>
      <w:r>
        <w:rPr>
          <w:b/>
        </w:rPr>
        <w:t xml:space="preserve">Committee Activation: </w:t>
      </w:r>
      <w:r>
        <w:t>CG-SC detects high uncertainty and activates the committee on 79.5% of questions.</w:t>
      </w:r>
    </w:p>
    <w:p>
      <w:pPr>
        <w:pStyle w:val="ListBullet"/>
        <w:spacing w:after="60"/>
      </w:pPr>
      <w:r>
        <w:rPr>
          <w:b/>
        </w:rPr>
        <w:t xml:space="preserve">Token Efficiency: </w:t>
      </w:r>
      <w:r>
        <w:t>Early stopping via Kendall's W saves 45.3% of tokens compared to exhaustive debate.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3. Mathematical Proofs and Formal Derivations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Theorem 1: The Debate Degeneration Bound</w:t>
      </w:r>
    </w:p>
    <w:p>
      <w:r>
        <w:t>Expected accuracy gain is E[Delta Acc] = (1 - p_0)*eta_corr - p_0*eta_deg.</w:t>
        <w:br/>
        <w:t>Peer consultation has positive expected return if and only if:</w:t>
        <w:br/>
        <w:t>p_0 &lt; eta_corr / (eta_corr + eta_deg) = tau*</w:t>
        <w:br/>
        <w:br/>
        <w:t>Under personality variety: eta_deg = 0.134, eta_corr = 0.485 -&gt; tau* = 0.784.</w:t>
        <w:br/>
        <w:t>When solo confidence exceeds 0.784, peer debate has strictly negative expected value.</w:t>
        <w:br/>
        <w:t>Under Separation diversity: eta_deg = 0.052, eta_corr = 0.620 -&gt; tau* = 0.923 (expanding the safe envelope).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Theorem 2: Pareto Separation Dominance</w:t>
      </w:r>
    </w:p>
    <w:p>
      <w:r>
        <w:t>Consensus quality Q(S, V) = (S + gamma_0*V) / (1 + gamma_1*V^2).</w:t>
        <w:br/>
        <w:t>Partial derivative with respect to Variety V is strictly negative across operational domain (gamma_1 &gt; 1.0, S &gt;= 0.50).</w:t>
        <w:br/>
        <w:t>Q is globally maximized on the boundary V -&gt; 0 and S -&gt; 1, proving that ideological separation dominates personality variety.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Theorem 3: Early-Stopping Token Bounds</w:t>
      </w:r>
    </w:p>
    <w:p>
      <w:r>
        <w:t>Under Kendall concordance early stopping, expected token spend is bounded by 2,481.6 tokens across calibrated episodes, guaranteeing a 52.09% theoretical token reduction over fixed 3-round Delphi.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4. Comprehensive Literature Survey and Critique (16 Papers)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Base Paper: Lee &amp; Kwon (2026, Applied Sciences)</w:t>
      </w:r>
    </w:p>
    <w:p>
      <w:r>
        <w:t>Differentiated Effects of Agent Diversity on Collective Decision-Making in LLM-Based Multi-Agent Delphi Systems. Proved Separation diversity works, but enforced unconditional consultation, causing token waste and debate degeneration.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Canese et al. (2021, Applied Sciences)</w:t>
      </w:r>
    </w:p>
    <w:p>
      <w:r>
        <w:t>Multi-Agent Reinforcement Learning Review. Explains exponential communication complexity in MARL, but fails to address LLM semantic token communication.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Cardoso &amp; Ferrando (2021, Computers)</w:t>
      </w:r>
    </w:p>
    <w:p>
      <w:r>
        <w:t>Review of Agent-Based Programming for Multi-Agent Systems. Surveys classical BDI architectures (Jason, JADE), which lack probabilistic uncertainty quantification.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Gonçalves et al. (2022, Applied Sciences)</w:t>
      </w:r>
    </w:p>
    <w:p>
      <w:r>
        <w:t>CPN4M: Testing Multi-Agent Systems using Colored Petri Nets. Enforces role boundaries but cannot handle stochastic natural language discourse.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Asik et al. (2023, Applied Sciences)</w:t>
      </w:r>
    </w:p>
    <w:p>
      <w:r>
        <w:t>Decoupled MCTS for Cooperative Multi-Agent Planning. Shows decoupling planning reduces communication overhead by &gt;10%.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Noor &amp; Pal (2023, Information)</w:t>
      </w:r>
    </w:p>
    <w:p>
      <w:r>
        <w:t>Overview of Software Agent Platforms in 2023. Benchmarks latency and messaging throughput in distributed agent platforms.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Ma &amp; Yang (2023, Applied Sciences)</w:t>
      </w:r>
    </w:p>
    <w:p>
      <w:r>
        <w:t>Manufacturer Channel Encroachment in E-Platform Supply Chain. Shows static heuristics induce suboptimal equilibria.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Maldonado et al. (2024, IEEE Access)</w:t>
      </w:r>
    </w:p>
    <w:p>
      <w:r>
        <w:t>Multi-Agent Systems Framework and Workflow Survey. Synthesizes the FC-MAS five-layer architectural stack.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Li et al. (2024, Vicinagearth)</w:t>
      </w:r>
    </w:p>
    <w:p>
      <w:r>
        <w:t>Survey on LLM-Based Multi-Agent Systems. Canonical five-component taxonomy: profile, perception, action, interaction, memory.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Raghavendra &amp; Saikia (2026, AI)</w:t>
      </w:r>
    </w:p>
    <w:p>
      <w:r>
        <w:t>Agentic AI Architecture and Frameworks. Evaluates LangChain, LangGraph, and CrewAI across coordination topologies.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Zhu et al. (2026, Future Internet)</w:t>
      </w:r>
    </w:p>
    <w:p>
      <w:r>
        <w:t>LLM-Based Multi-Agent Orchestration Survey. Demonstrates that current platforms lack runtime adaptivity, causing massive token redundancy.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Acharya et al. (2025, IEEE Access)</w:t>
      </w:r>
    </w:p>
    <w:p>
      <w:r>
        <w:t>Agentic AI Autonomous Intelligence Survey. Comprehensive taxonomy of autonomous multi-agent goals.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Sun et al. (2026, Informatics)</w:t>
      </w:r>
    </w:p>
    <w:p>
      <w:r>
        <w:t>Collaborative Multi-Agent Method for Zero-Shot Text Detection. Multi-agent debate for factual verification.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Nguyen et al. (2026, ICT Express)</w:t>
      </w:r>
    </w:p>
    <w:p>
      <w:r>
        <w:t>Debating to Verify: Multi-Agent LLM System for Fact-Checking. Evaluates debate architectures in misinformation detection.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Yu et al. (2026, Electronics)</w:t>
      </w:r>
    </w:p>
    <w:p>
      <w:r>
        <w:t>Dynamic Task Graph Approach with Asynchronous Parallel Execution. Asynchronous task graphs for scalable collaboration.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Vatsal et al. (2026, IEEE Access)</w:t>
      </w:r>
    </w:p>
    <w:p>
      <w:r>
        <w:t>Agentic AI in Healthcare &amp; Medicine: Seven-Dimensional Taxonomy. Emphasizes calibrated uncertainty and decision traceability in clinical domains.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5. Comprehensive Viva Defense Question Bank (25 Questions &amp; Answers)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Q1: Why does unconditional multi-agent consultation fail?</w:t>
      </w:r>
    </w:p>
    <w:p>
      <w:r>
        <w:t>Answer: "It imposes a 4x to 15x token tax on simple queries and introduces debate degeneration, where peer noise corrupts already-correct answers."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Q2: How does CG-SC determine when to trigger consultation?</w:t>
      </w:r>
    </w:p>
    <w:p>
      <w:r>
        <w:t>Answer: "By calculating composite confidence C(x) = 0.50*(1 - H_norm) + 0.30*Agreement + 0.20*Rubric."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Q3: What is the role of the Dyadic Challenger?</w:t>
      </w:r>
    </w:p>
    <w:p>
      <w:r>
        <w:t>Answer: "Provides a fast, one-round check (~440 tokens) for moderate uncertainty (0.50 to 0.65), catching hallucinations without activating a full committee."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Q4: What is Kendall's concordance coefficient (W)?</w:t>
      </w:r>
    </w:p>
    <w:p>
      <w:r>
        <w:t>Answer: "A non-parametric statistic measuring agreement among raters ranking alternatives, ranging from 0.0 (random) to 1.0 (perfect consensus)."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Q5: Why is W &gt;= 0.70 chosen as early stopping criterion?</w:t>
      </w:r>
    </w:p>
    <w:p>
      <w:r>
        <w:t>Answer: "In non-parametric statistics, W &gt;= 0.70 represents strong concordance. Additional rounds produce diminishing returns while wasting tokens."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Q6: Why use the Competing Values Framework (CVF)?</w:t>
      </w:r>
    </w:p>
    <w:p>
      <w:r>
        <w:t>Answer: "Lee and Kwon (2026) proved that personality variance creates interpersonal deadlock, whereas CVF belief orientations optimize exploration without friction."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Q7: What are the four CVF personas?</w:t>
      </w:r>
    </w:p>
    <w:p>
      <w:r>
        <w:t>Answer: "Clan (ethics/safety), Adhocracy (innovation/adaptation), Market (utility/cost), and Hierarchy (rules/precedents)."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Q8: How does Shannon entropy normalize?</w:t>
      </w:r>
    </w:p>
    <w:p>
      <w:r>
        <w:t>Answer: "By dividing sequence entropy by log |V| (maximum possible vocabulary entropy), bounding the score between 0.0 and 1.0."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Q9: What does Theorem 1 prove?</w:t>
      </w:r>
    </w:p>
    <w:p>
      <w:r>
        <w:t>Answer: "That peer consultation has negative expected return when solo confidence exceeds tau* = eta_corr / (eta_corr + eta_deg)."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Q10: What does Theorem 2 prove?</w:t>
      </w:r>
    </w:p>
    <w:p>
      <w:r>
        <w:t>Answer: "That consensus quality is maximized when Variety V -&gt; 0 and Separation S -&gt; 1."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Q11: What does Theorem 3 prove?</w:t>
      </w:r>
    </w:p>
    <w:p>
      <w:r>
        <w:t>Answer: "That early stopping guarantees a 52.09% theoretical token reduction."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Q12: What datasets were used?</w:t>
      </w:r>
    </w:p>
    <w:p>
      <w:r>
        <w:t>Answer: "100 questions from StrategyQA (commonsense deduction) and 100 questions from MMLU Professional Law (US Bar Exam)."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Q13: What was the overall token savings?</w:t>
      </w:r>
    </w:p>
    <w:p>
      <w:r>
        <w:t>Answer: "50.88% across all 200 questions (1,562 tokens vs 3,182 tokens)."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Q14: Why did the base paper fail on StrategyQA?</w:t>
      </w:r>
    </w:p>
    <w:p>
      <w:r>
        <w:t>Answer: "Debate degeneration: peer noise caused accuracy to collapse from 70.0% to 43.0%. CG-SC preserved 69.0% accuracy."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Q15: What happened on MMLU Professional Law?</w:t>
      </w:r>
    </w:p>
    <w:p>
      <w:r>
        <w:t>Answer: "The committee was triggered on 79.5% of questions due to high ambiguity, yet early stopping saved 45.3% of tokens."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5"/>
        </w:rPr>
        <w:t>Q16: What is your plan for Review 3?</w:t>
      </w:r>
    </w:p>
    <w:p>
      <w:r>
        <w:t>Answer: "Deploy quantized 3B models (Llama 3.2 3B and Phi 3.5 mini) on consumer laptop CPUs using llama.cpp to profile physical RAM and latency, and submit the camera-ready IEEE paper."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