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Default Extension="wmf" ContentType="image/x-wmf"/>
  <Default Extension="jpg" ContentType="application/octet-stream"/>
  <Default Extension="emf" ContentType="image/x-emf"/>
  <Default Extension="bmp" ContentType="image/bmp"/>
  <Default Extension="png" ContentType="image/png"/>
  <Default Extension="svg" ContentType="image/svg+xml"/>
  <Default Extension="gif" ContentType="image/gif"/>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preserve">**Población y tasas complementarias de ocupación y desocupación,</w:t>
      </w:r>
    </w:p>
    <w:p>
      <w:pPr>
        <w:spacing w:before="0" w:after="60"/>
        <w:keepNext/>
        <w:jc w:val="start"/>
        <w:pStyle w:val="caption"/>
      </w:pPr>
      <w:r>
        <w:rPr>
          <w:rFonts w:ascii="Calibri" w:hAnsi="Calibri"/>
          <w:sz w:val="24"/>
          <w:color w:val="333333"/>
        </w:rPr>
        <w:t xml:space="preserve">según entidad federativa**</w:t>
      </w:r>
    </w:p>
    <w:p>
      <w:pPr>
        <w:spacing w:before="0" w:after="60"/>
        <w:keepNext/>
        <w:jc w:val="start"/>
        <w:pStyle w:val="caption"/>
      </w:pPr>
      <w:r>
        <w:rPr>
          <w:rFonts w:ascii="Calibri" w:hAnsi="Calibri"/>
          <w:sz w:val="20"/>
          <w:color w:val="333333"/>
        </w:rPr>
        <w:t xml:space="preserve">Primer trimestre de 2026</w:t>
      </w:r>
    </w:p>
    <w:p>
      <w:pPr>
        <w:spacing w:before="0" w:after="60"/>
        <w:keepNext/>
        <w:jc w:val="start"/>
        <w:pStyle w:val="caption"/>
      </w:pPr>
      <w:r>
        <w:rPr>
          <w:rFonts w:ascii="Calibri" w:hAnsi="Calibri"/>
          <w:sz w:val="20"/>
          <w:color w:val="333333"/>
        </w:rPr>
        <w:t xml:space="preserve">(personas y porcentaje)</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start w:val="single" w:space="0" w:color="D3D3D3"/>
            </w:tcBorders>
          </w:tcPr>
          <w:p>
            <w:pPr>
              <w:spacing w:before="0" w:after="60"/>
              <w:keepNext/>
            </w:pPr>
            <w:r>
              <w:rPr>
                <w:rFonts w:ascii="Calibri" w:hAnsi="Calibri"/>
                <w:sz w:val="20"/>
              </w:rPr>
              <w:t xml:space="default"/>
            </w:r>
          </w:p>
        </w:tc>
        <w:tc>
          <w:tcPr>
            <w:tcBorders>
              <w:top w:val="single" w:sz="16" w:space="0" w:color="D3D3D3"/>
              <w:bottom w:val="single" w:sz="16" w:space="0" w:color="D3D3D3"/>
            </w:tcBorders>
            <w:gridSpan w:val="2"/>
          </w:tcPr>
          <w:p>
            <w:pPr>
              <w:spacing w:before="0" w:after="60"/>
              <w:keepNext/>
              <w:jc w:val="center"/>
            </w:pPr>
            <w:r>
              <w:rPr>
                <w:rFonts w:ascii="Calibri" w:hAnsi="Calibri"/>
                <w:sz w:val="20"/>
              </w:rPr>
              <w:t xml:space="default">Poblacion</w:t>
            </w:r>
          </w:p>
        </w:tc>
        <w:tc>
          <w:tcPr>
            <w:tcBorders>
              <w:top w:val="single" w:sz="16" w:space="0" w:color="D3D3D3"/>
              <w:bottom w:val="single" w:sz="16" w:space="0" w:color="D3D3D3"/>
              <w:end w:val="single" w:space="0" w:color="D3D3D3"/>
            </w:tcBorders>
            <w:gridSpan w:val="9"/>
          </w:tcPr>
          <w:p>
            <w:pPr>
              <w:spacing w:before="0" w:after="60"/>
              <w:keepNext/>
              <w:jc w:val="center"/>
            </w:pPr>
            <w:r>
              <w:rPr>
                <w:rFonts w:ascii="Calibri" w:hAnsi="Calibri"/>
                <w:sz w:val="20"/>
              </w:rPr>
              <w:t xml:space="default">Tasa de</w:t>
            </w:r>
          </w:p>
        </w:tc>
      </w:tr>
      <w:tr>
        <w:trPr>
          <w:cantSplit/>
          <w:tblHeader/>
        </w:trPr>
        <w:tc>
          <w:tcPr>
            <w:tcBorders>
              <w:start w:val="single" w:space="0" w:color="D3D3D3"/>
            </w:tcBorders>
          </w:tcPr>
          <w:p>
            <w:pPr>
              <w:spacing w:before="0" w:after="60"/>
              <w:keepNext/>
            </w:pPr>
            <w:r>
              <w:rPr>
                <w:rFonts w:ascii="Calibri" w:hAnsi="Calibri"/>
                <w:sz w:val="20"/>
              </w:rPr>
              <w:t xml:space="default"/>
            </w:r>
          </w:p>
        </w:tc>
        <w:tc>
          <w:tcPr>
            <w:tcBorders>
              <w:bottom w:val="single" w:sz="16" w:space="0" w:color="D3D3D3"/>
            </w:tcBorders>
            <w:gridSpan w:val="2"/>
          </w:tcPr>
          <w:p>
            <w:pPr>
              <w:spacing w:before="0" w:after="60"/>
              <w:keepNext/>
              <w:jc w:val="center"/>
            </w:pPr>
            <w:r>
              <w:rPr>
                <w:rFonts w:ascii="Calibri" w:hAnsi="Calibri"/>
                <w:sz w:val="20"/>
              </w:rPr>
              <w:t xml:space="default">(personas)</w:t>
            </w:r>
          </w:p>
        </w:tc>
        <w:tc>
          <w:tcPr>
            <w:tcBorders>
              <w:bottom w:val="single" w:sz="16" w:space="0" w:color="D3D3D3"/>
              <w:end w:val="single" w:space="0" w:color="D3D3D3"/>
            </w:tcBorders>
            <w:gridSpan w:val="9"/>
          </w:tcPr>
          <w:p>
            <w:pPr>
              <w:spacing w:before="0" w:after="60"/>
              <w:keepNext/>
              <w:jc w:val="center"/>
            </w:pPr>
            <w:r>
              <w:rPr>
                <w:rFonts w:ascii="Calibri" w:hAnsi="Calibri"/>
                <w:sz w:val="20"/>
              </w:rPr>
              <w:t xml:space="default">(porcentaje)</w:t>
            </w:r>
          </w:p>
        </w:tc>
      </w:tr>
      <w:tr>
        <w:trPr>
          <w:cantSplit/>
          <w:tblHeader/>
        </w:trPr>
        <w:tc>
          <w:tcPr>
            <w:tcBorders>
              <w:bottom w:val="single" w:sz="16" w:space="0" w:color="D3D3D3"/>
              <w:start w:val="single" w:space="0" w:color="D3D3D3"/>
            </w:tcBorders>
            <w:vAlign w:val="center"/>
          </w:tcPr>
          <w:p>
            <w:pPr>
              <w:spacing w:before="0" w:after="60"/>
              <w:keepNext/>
              <w:jc w:val="start"/>
            </w:pPr>
            <w:r>
              <w:rPr>
                <w:rFonts w:ascii="Calibri" w:hAnsi="Calibri"/>
                <w:sz w:val="20"/>
              </w:rPr>
              <w:t xml:space="preserve">Entidad federativa</w:t>
            </w:r>
          </w:p>
        </w:tc>
        <w:tc>
          <w:tcPr>
            <w:tcBorders>
              <w:bottom w:val="single" w:sz="16" w:space="0" w:color="D3D3D3"/>
            </w:tcBorders>
            <w:vAlign w:val="center"/>
          </w:tcPr>
          <w:p>
            <w:pPr>
              <w:spacing w:before="0" w:after="60"/>
              <w:keepNext/>
              <w:jc w:val="end"/>
            </w:pPr>
            <w:r>
              <w:rPr>
                <w:rFonts w:ascii="Calibri" w:hAnsi="Calibri"/>
                <w:sz w:val="20"/>
              </w:rPr>
              <w:t xml:space="default">Ocupada</w:t>
            </w:r>
          </w:p>
        </w:tc>
        <w:tc>
          <w:tcPr>
            <w:tcBorders>
              <w:bottom w:val="single" w:sz="16" w:space="0" w:color="D3D3D3"/>
            </w:tcBorders>
            <w:vAlign w:val="center"/>
          </w:tcPr>
          <w:p>
            <w:pPr>
              <w:spacing w:before="0" w:after="60"/>
              <w:keepNext/>
              <w:jc w:val="end"/>
            </w:pPr>
            <w:r>
              <w:rPr>
                <w:rFonts w:ascii="Calibri" w:hAnsi="Calibri"/>
                <w:sz w:val="20"/>
              </w:rPr>
              <w:t xml:space="default">Desocupada</w:t>
            </w:r>
          </w:p>
        </w:tc>
        <w:tc>
          <w:tcPr>
            <w:tcBorders>
              <w:bottom w:val="single" w:sz="16" w:space="0" w:color="D3D3D3"/>
            </w:tcBorders>
            <w:vAlign w:val="center"/>
          </w:tcPr>
          <w:p>
            <w:pPr>
              <w:spacing w:before="0" w:after="60"/>
              <w:keepNext/>
              <w:jc w:val="center"/>
            </w:pPr>
            <w:r>
              <w:rPr>
                <w:rFonts w:ascii="Calibri" w:hAnsi="Calibri"/>
                <w:sz w:val="20"/>
              </w:rPr>
              <w:t xml:space="default">Participación</w:t>
            </w:r>
            <w:r>
              <w:rPr>
                <w:vertAlign w:val="superscript"/>
                <w:i/>
                <w:rFonts w:ascii="Calibri" w:hAnsi="Calibri"/>
                <w:sz w:val="20"/>
              </w:rPr>
              <w:t xml:space="default">1</w:t>
            </w:r>
          </w:p>
        </w:tc>
        <w:tc>
          <w:tcPr>
            <w:tcBorders>
              <w:bottom w:val="single" w:sz="16" w:space="0" w:color="D3D3D3"/>
            </w:tcBorders>
            <w:vAlign w:val="center"/>
          </w:tcPr>
          <w:p>
            <w:pPr>
              <w:spacing w:before="0" w:after="60"/>
              <w:keepNext/>
              <w:jc w:val="center"/>
            </w:pPr>
            <w:r>
              <w:rPr>
                <w:rFonts w:ascii="Calibri" w:hAnsi="Calibri"/>
                <w:sz w:val="20"/>
              </w:rPr>
              <w:t xml:space="default">Desocupación </w:t>
            </w:r>
            <w:r>
              <w:rPr>
                <w:vertAlign w:val="superscript"/>
                <w:i/>
                <w:rFonts w:ascii="Calibri" w:hAnsi="Calibri"/>
                <w:sz w:val="20"/>
              </w:rPr>
              <w:t xml:space="default">2</w:t>
            </w:r>
          </w:p>
        </w:tc>
        <w:tc>
          <w:tcPr>
            <w:tcBorders>
              <w:bottom w:val="single" w:sz="16" w:space="0" w:color="D3D3D3"/>
            </w:tcBorders>
            <w:vAlign w:val="center"/>
          </w:tcPr>
          <w:p>
            <w:pPr>
              <w:spacing w:before="0" w:after="60"/>
              <w:keepNext/>
              <w:jc w:val="center"/>
            </w:pPr>
            <w:r>
              <w:rPr>
                <w:rFonts w:ascii="Calibri" w:hAnsi="Calibri"/>
                <w:sz w:val="20"/>
              </w:rPr>
              <w:t xml:space="default">Ocupación parcial y desocupación </w:t>
            </w:r>
            <w:r>
              <w:rPr>
                <w:vertAlign w:val="superscript"/>
                <w:i/>
                <w:rFonts w:ascii="Calibri" w:hAnsi="Calibri"/>
                <w:sz w:val="20"/>
              </w:rPr>
              <w:t xml:space="default">2</w:t>
            </w:r>
          </w:p>
        </w:tc>
        <w:tc>
          <w:tcPr>
            <w:tcBorders>
              <w:bottom w:val="single" w:sz="16" w:space="0" w:color="D3D3D3"/>
            </w:tcBorders>
            <w:vAlign w:val="center"/>
          </w:tcPr>
          <w:p>
            <w:pPr>
              <w:spacing w:before="0" w:after="60"/>
              <w:keepNext/>
              <w:jc w:val="center"/>
            </w:pPr>
            <w:r>
              <w:rPr>
                <w:rFonts w:ascii="Calibri" w:hAnsi="Calibri"/>
                <w:sz w:val="20"/>
              </w:rPr>
              <w:t xml:space="default">Presión general </w:t>
            </w:r>
            <w:r>
              <w:rPr>
                <w:vertAlign w:val="superscript"/>
                <w:i/>
                <w:rFonts w:ascii="Calibri" w:hAnsi="Calibri"/>
                <w:sz w:val="20"/>
              </w:rPr>
              <w:t xml:space="default">2</w:t>
            </w:r>
          </w:p>
        </w:tc>
        <w:tc>
          <w:tcPr>
            <w:tcBorders>
              <w:bottom w:val="single" w:sz="16" w:space="0" w:color="D3D3D3"/>
            </w:tcBorders>
            <w:vAlign w:val="center"/>
          </w:tcPr>
          <w:p>
            <w:pPr>
              <w:spacing w:before="0" w:after="60"/>
              <w:keepNext/>
              <w:jc w:val="center"/>
            </w:pPr>
            <w:r>
              <w:rPr>
                <w:rFonts w:ascii="Calibri" w:hAnsi="Calibri"/>
                <w:sz w:val="20"/>
              </w:rPr>
              <w:t xml:space="default">Trabajo asalariado </w:t>
            </w:r>
            <w:r>
              <w:rPr>
                <w:vertAlign w:val="superscript"/>
                <w:i/>
                <w:rFonts w:ascii="Calibri" w:hAnsi="Calibri"/>
                <w:sz w:val="20"/>
              </w:rPr>
              <w:t xml:space="default">3</w:t>
            </w:r>
          </w:p>
        </w:tc>
        <w:tc>
          <w:tcPr>
            <w:tcBorders>
              <w:bottom w:val="single" w:sz="16" w:space="0" w:color="D3D3D3"/>
            </w:tcBorders>
            <w:vAlign w:val="center"/>
          </w:tcPr>
          <w:p>
            <w:pPr>
              <w:spacing w:before="0" w:after="60"/>
              <w:keepNext/>
              <w:jc w:val="center"/>
            </w:pPr>
            <w:r>
              <w:rPr>
                <w:rFonts w:ascii="Calibri" w:hAnsi="Calibri"/>
                <w:sz w:val="20"/>
              </w:rPr>
              <w:t xml:space="default">Subocupación </w:t>
            </w:r>
            <w:r>
              <w:rPr>
                <w:vertAlign w:val="superscript"/>
                <w:i/>
                <w:rFonts w:ascii="Calibri" w:hAnsi="Calibri"/>
                <w:sz w:val="20"/>
              </w:rPr>
              <w:t xml:space="default">3</w:t>
            </w:r>
          </w:p>
        </w:tc>
        <w:tc>
          <w:tcPr>
            <w:tcBorders>
              <w:bottom w:val="single" w:sz="16" w:space="0" w:color="D3D3D3"/>
            </w:tcBorders>
            <w:vAlign w:val="center"/>
          </w:tcPr>
          <w:p>
            <w:pPr>
              <w:spacing w:before="0" w:after="60"/>
              <w:keepNext/>
              <w:jc w:val="center"/>
            </w:pPr>
            <w:r>
              <w:rPr>
                <w:rFonts w:ascii="Calibri" w:hAnsi="Calibri"/>
                <w:sz w:val="20"/>
              </w:rPr>
              <w:t xml:space="default">Condiciones críticas de ocupación </w:t>
            </w:r>
            <w:r>
              <w:rPr>
                <w:vertAlign w:val="superscript"/>
                <w:i/>
                <w:rFonts w:ascii="Calibri" w:hAnsi="Calibri"/>
                <w:sz w:val="20"/>
              </w:rPr>
              <w:t xml:space="default">3,4</w:t>
            </w:r>
          </w:p>
        </w:tc>
        <w:tc>
          <w:tcPr>
            <w:tcBorders>
              <w:bottom w:val="single" w:sz="16" w:space="0" w:color="D3D3D3"/>
            </w:tcBorders>
            <w:vAlign w:val="center"/>
          </w:tcPr>
          <w:p>
            <w:pPr>
              <w:spacing w:before="0" w:after="60"/>
              <w:keepNext/>
              <w:jc w:val="center"/>
            </w:pPr>
            <w:r>
              <w:rPr>
                <w:rFonts w:ascii="Calibri" w:hAnsi="Calibri"/>
                <w:sz w:val="20"/>
              </w:rPr>
              <w:t xml:space="default">Informalidad laboral 1 </w:t>
            </w:r>
            <w:r>
              <w:rPr>
                <w:vertAlign w:val="superscript"/>
                <w:i/>
                <w:rFonts w:ascii="Calibri" w:hAnsi="Calibri"/>
                <w:sz w:val="20"/>
              </w:rPr>
              <w:t xml:space="default">3</w:t>
            </w:r>
          </w:p>
        </w:tc>
        <w:tc>
          <w:tcPr>
            <w:tcBorders>
              <w:bottom w:val="single" w:sz="16" w:space="0" w:color="D3D3D3"/>
              <w:end w:val="single" w:space="0" w:color="D3D3D3"/>
            </w:tcBorders>
            <w:vAlign w:val="center"/>
          </w:tcPr>
          <w:p>
            <w:pPr>
              <w:spacing w:before="0" w:after="60"/>
              <w:keepNext/>
              <w:jc w:val="center"/>
            </w:pPr>
            <w:r>
              <w:rPr>
                <w:rFonts w:ascii="Calibri" w:hAnsi="Calibri"/>
                <w:sz w:val="20"/>
              </w:rPr>
              <w:t xml:space="default">Ocupación en el sector informal 1 </w:t>
            </w:r>
            <w:r>
              <w:rPr>
                <w:vertAlign w:val="superscript"/>
                <w:i/>
                <w:rFonts w:ascii="Calibri" w:hAnsi="Calibri"/>
                <w:sz w:val="20"/>
              </w:rPr>
              <w:t xml:space="default">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b w:val="true"/>
              </w:rPr>
              <w:t xml:space="default">Estados Unidos Mexicanos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59,552,660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b w:val="true"/>
              </w:rPr>
              <w:t xml:space="default">1,560,697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58.7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66.0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38.6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b w:val="true"/>
              </w:rPr>
              <w:t xml:space="default">29.5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Aguascalientes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696,015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15,394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Baja California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1,771,951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43,222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Baja California Sur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483,495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10,300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Campeche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427,100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12,252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Coahuila de Zaragoza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1,603,004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56,292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Colima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392,491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6,694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Chiapas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2,173,552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54,510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75.3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29.3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Chihuahua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1,818,648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16.3</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Ciudad de México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4,904,507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203,026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Durango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862,340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28,409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Guanajuato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2,803,253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91,083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54.8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Guerrero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1,510,529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21,442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Hidalgo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1,468,305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22,474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38.4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Jalisco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3,848,036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62,663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México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8,132,927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260,341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Michoacán de Ocampo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2,300,928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41,356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Morelos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895,974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17,560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Nayarit</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659,210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13,740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Nuevo León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2,919,694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84,638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Oaxaca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1,827,709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21,381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79.9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Puebla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3,070,740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56,384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Querétaro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1,204,083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26,614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39.0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Quintana Roo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1,010,964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27,309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 Luis Potosí</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1,281,677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39,954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Sinaloa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1,409,788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37,480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28.5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48.7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Sonora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1,405,467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43,745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70.2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21.1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Tabasco</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1,105,013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40,415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57.5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13.6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36.1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Tamaulipas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1,669,623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45,886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46.1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24.7</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Tlaxcala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655,654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16,996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62.9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9.5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71.2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42.5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Veracruz de Ignacio de la Llave</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3,345,424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79,734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53.3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68.9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Yucatán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1,242,392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19,527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11.6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4.5</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66.2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37.9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59.3</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31.5</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Zacatecas</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652,167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19,907</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52.1</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3.0</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10.6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5.2</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64.6</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6.4</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44.9</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60.8</w:t>
            </w:r>
          </w:p>
        </w:tc>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25.2</w:t>
            </w:r>
          </w:p>
        </w:tc>
      </w:tr>
      <w:tr>
        <w:trPr>
          <w:cantSplit/>
        </w:trPr>
        <w:tc>
          <w:tcPr>
            <w:gridSpan w:val="12"/>
          </w:tcPr>
          <w:p>
            <w:pPr>
              <w:spacing w:before="0" w:after="60"/>
              <w:keepNext/>
            </w:pPr>
            <w:r>
              <w:rPr>
                <w:vertAlign w:val="superscript"/>
                <w:i/>
                <w:rFonts w:ascii="Calibri" w:hAnsi="Calibri"/>
                <w:sz w:val="20"/>
              </w:rPr>
              <w:t xml:space="default">1</w:t>
            </w:r>
            <w:r>
              <w:rPr>
                <w:rFonts w:ascii="Calibri" w:hAnsi="Calibri"/>
                <w:sz w:val="20"/>
              </w:rPr>
              <w:t xml:space="default">Población económicamente activa (PEA) como porcentaje de la población de 15 años y más.</w:t>
            </w:r>
          </w:p>
        </w:tc>
      </w:tr>
      <w:tr>
        <w:trPr>
          <w:cantSplit/>
        </w:trPr>
        <w:tc>
          <w:tcPr>
            <w:gridSpan w:val="12"/>
          </w:tcPr>
          <w:p>
            <w:pPr>
              <w:spacing w:before="0" w:after="60"/>
              <w:keepNext/>
            </w:pPr>
            <w:r>
              <w:rPr>
                <w:vertAlign w:val="superscript"/>
                <w:i/>
                <w:rFonts w:ascii="Calibri" w:hAnsi="Calibri"/>
                <w:sz w:val="20"/>
              </w:rPr>
              <w:t xml:space="default">2</w:t>
            </w:r>
            <w:r>
              <w:rPr>
                <w:rFonts w:ascii="Calibri" w:hAnsi="Calibri"/>
                <w:sz w:val="20"/>
              </w:rPr>
              <w:t xml:space="default">Valor relativo respecto a la PEA.</w:t>
            </w:r>
          </w:p>
        </w:tc>
      </w:tr>
      <w:tr>
        <w:trPr>
          <w:cantSplit/>
        </w:trPr>
        <w:tc>
          <w:tcPr>
            <w:gridSpan w:val="12"/>
          </w:tcPr>
          <w:p>
            <w:pPr>
              <w:spacing w:before="0" w:after="60"/>
              <w:keepNext/>
            </w:pPr>
            <w:r>
              <w:rPr>
                <w:vertAlign w:val="superscript"/>
                <w:i/>
                <w:rFonts w:ascii="Calibri" w:hAnsi="Calibri"/>
                <w:sz w:val="20"/>
              </w:rPr>
              <w:t xml:space="default">3</w:t>
            </w:r>
            <w:r>
              <w:rPr>
                <w:rFonts w:ascii="Calibri" w:hAnsi="Calibri"/>
                <w:sz w:val="20"/>
              </w:rPr>
              <w:t xml:space="default">Valor relativo respecto a la población ocupada.</w:t>
            </w:r>
          </w:p>
        </w:tc>
      </w:tr>
      <w:tr>
        <w:trPr>
          <w:cantSplit/>
        </w:trPr>
        <w:tc>
          <w:tcPr>
            <w:gridSpan w:val="12"/>
          </w:tcPr>
          <w:p>
            <w:pPr>
              <w:spacing w:before="0" w:after="60"/>
              <w:keepNext/>
            </w:pPr>
            <w:r>
              <w:rPr>
                <w:vertAlign w:val="superscript"/>
                <w:i/>
                <w:rFonts w:ascii="Calibri" w:hAnsi="Calibri"/>
                <w:sz w:val="20"/>
              </w:rPr>
              <w:t xml:space="default">4</w:t>
            </w:r>
            <w:r>
              <w:rPr>
                <w:rFonts w:ascii="Calibri" w:hAnsi="Calibri"/>
                <w:sz w:val="20"/>
              </w:rPr>
              <w:t xml:space="preserve">Por construcción, los indicadores de la ENOE, que involucran a la población ocupada u otra variable clasificada en rangos de salarios mínimos, son sensibles a los cambios en dichos salarios. Las cifras de la tasa de condiciones críticas de ocupación (TCCO) se construyen a partir de salarios mínimos nominales. Para efecto de comparar en el tiempo indicadores que toman como referencia salarios mínimos, es necesario considerar la evolución del Índice Nacional de Precios al Consumidor (INPC) y construir salarios mínimos equivalentes, a partir de un año base como referencia. El INEGI pone a disposición de las y los usuarios cifras comparables en el tiempo de la TCCO en la siguiente liga: </w:t>
            </w:r>
            <w:hyperlink r:id="rId9">
              <w:r>
                <w:rPr>
                  <w:rStyle w:val="Hyperlink"/>
                  <w:color w:val="0563C1"/>
                  <w:rFonts w:ascii="Calibri" w:hAnsi="Calibri"/>
                  <w:sz w:val="20"/>
                </w:rPr>
                <w:t xml:space="default">https://www.inegi.org.mx/programas/enoe/15ymas/#Tabulados</w:t>
              </w:r>
            </w:hyperlink>
            <w:r>
              <w:rPr>
                <w:rFonts w:ascii="Calibri" w:hAnsi="Calibri"/>
                <w:sz w:val="20"/>
              </w:rPr>
              <w:t xml:space="preserve">.</w:t>
            </w:r>
          </w:p>
        </w:tc>
      </w:tr>
      <w:tr>
        <w:trPr>
          <w:cantSplit/>
        </w:trPr>
        <w:tc>
          <w:tcPr>
            <w:gridSpan w:val="12"/>
          </w:tcPr>
          <w:p>
            <w:pPr>
              <w:spacing w:before="0" w:after="60"/>
              <w:keepNext/>
            </w:pPr>
            <w:r>
              <w:rPr>
                <w:rFonts w:ascii="Calibri" w:hAnsi="Calibri"/>
                <w:sz w:val="20"/>
              </w:rPr>
              <w:t xml:space="default">Fuente: INEGI. Encuesta Nacional de Ocupación y Empleo (ENOE), 2026.</w:t>
            </w:r>
          </w:p>
        </w:tc>
      </w:tr>
    </w:tbl>
    <w:p>
      <w:pPr>
        <w:pStyle w:val="FirstParagraph"/>
      </w:pPr>
    </w:p>
    <w:sectPr xmlns:w="http://schemas.openxmlformats.org/wordprocessingml/2006/main" xmlns:wp="http://schemas.openxmlformats.org/drawingml/2006/wordprocessingDrawing" xmlns:r="http://schemas.openxmlformats.org/officeDocument/2006/relationships" xmlns:w14="http://schemas.microsoft.com/office/word/2010/wordml">
      <w:type w:val="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hyphenationZone w:val="360"/>
  <w:decimalSymbol w:val="."/>
  <w:listSeparator w:val=","/>
  <w:compat>
    <w:compatSetting w:name="compatibilityMode" w:uri="http://schemas.microsoft.com/office/word" w:val="15"/>
  </w:compat>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
  <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9" Type="http://schemas.openxmlformats.org/officeDocument/2006/relationships/hyperlink" Target="https://www.inegi.org.mx/programas/enoe/15ymas/#Tabulados" TargetMode="Externa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2026-07-22T05:08:55Z</dcterms:created>
  <dcterms:modified xsi:type="dcterms:W3CDTF">2026-07-22T05:08:55Z</dcterms:modified>
</cp:coreProperties>
</file>

<file path=docProps/custom.xml><?xml version="1.0" encoding="utf-8"?>
<Properties xmlns="http://schemas.openxmlformats.org/officeDocument/2006/custom-properties" xmlns:vt="http://schemas.openxmlformats.org/officeDocument/2006/docPropsVTypes"/>
</file>