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Default Extension="wmf" ContentType="image/x-wmf"/>
  <Default Extension="jpg" ContentType="application/octet-stream"/>
  <Default Extension="emf" ContentType="image/x-emf"/>
  <Default Extension="bmp" ContentType="image/bmp"/>
  <Default Extension="png" ContentType="image/png"/>
  <Default Extension="svg" ContentType="image/svg+xml"/>
  <Default Extension="gif" ContentType="image/gif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Tasas complementarias, según sexo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Primer trimestre de 2025 y 2026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(porcentaje)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Primer trimestre de 2026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Tasa</w:t>
            </w:r>
          </w:p>
        </w:tc>
        <w:tc>
          <w:tcPr>
            <w:tcBorders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bottom w:val="single" w:sz="16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Mujeres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vAlign w:val="center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Hombres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participación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desocupación (TD)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2,2,2,4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ocupación parcial y desocupación (TOPD1)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2,2,2,5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presión general (TPRG)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2,2,2,6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trabajo asalariado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3,3,3,3,3,3,3,7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subocupación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3,3,3,3,3,3,3,8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condiciones críticas de ocupación (TCCO)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3,3,3,3,3,3,3,9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informalidad laboral 1 (TIL1)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3,3,3,3,3,3,3,10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ocupación en el sector informal 1 (TOSI1)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3,3,3,3,3,3,3,11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informalidad laboral 2 (TIL2)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3,3,3,3,3,3,3,12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Tasa de ocupación en el sector informal 2 (TOSI2)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3,3,3,3,3,3,3,13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Población económicamente activa (PEA) como porcentaje de la población de 15 años y más.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Valor relativo respecto a la PEA.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Valor relativo respecto a la población ocupada.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Considera a la población que se encuentra sin trabajar, pero que busca trabajo.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  <w:r>
              <w:rPr>
                <w:rFonts w:ascii="Calibri" w:hAnsi="Calibri"/>
                <w:sz w:val="20"/>
              </w:rPr>
              <w:t xml:space="default">Considera a la población desocupada y a la ocupada que trabajó menos de 15 horas a la semana.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6</w:t>
            </w:r>
            <w:r>
              <w:rPr>
                <w:rFonts w:ascii="Calibri" w:hAnsi="Calibri"/>
                <w:sz w:val="20"/>
              </w:rPr>
              <w:t xml:space="default">Incluye, además de a las y los desocupados, a las y los ocupados que buscan empleo.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7</w:t>
            </w:r>
            <w:r>
              <w:rPr>
                <w:rFonts w:ascii="Calibri" w:hAnsi="Calibri"/>
                <w:sz w:val="20"/>
              </w:rPr>
              <w:t xml:space="default">Representa a la población que, por las actividades realizadas, percibe un sueldo, salario o jornal, de la unidad económica para la que trabaja.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8</w:t>
            </w:r>
            <w:r>
              <w:rPr>
                <w:rFonts w:ascii="Calibri" w:hAnsi="Calibri"/>
                <w:sz w:val="20"/>
              </w:rPr>
              <w:t xml:space="default">Porcentaje de la población ocupada que tiene la necesidad y disponibilidad de ofertar más tiempo de trabajo de lo que su ocupación actual le permite.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9</w:t>
            </w:r>
            <w:r>
              <w:rPr>
                <w:rFonts w:ascii="Calibri" w:hAnsi="Calibri"/>
                <w:sz w:val="20"/>
              </w:rPr>
              <w:t xml:space="preserve">Incluye a las personas que trabajan menos de 35 horas a la semana por razones ajenas a sus decisiones, las que trabajan más de 35 horas semanales con ingresos mensuales inferiores al salario mínimo y las que laboran más de 48 horas semanales y ganan hasta 2 salarios mínimos. Por construcción, los indicadores de la ENOE que involucran a la población ocupada, u otra variable clasificada en rangos de salarios mínimos, son sensibles a los cambios en dichos salarios. Para la comparación en el tiempo de la TCCO se presentan resultados a partir de salarios mínimos equivalentes base enero 2026. El INEGI pone a disposición de las y los usuarios cifras comparables en la siguiente liga: </w:t>
            </w:r>
            <w:hyperlink r:id="rId9">
              <w:r>
                <w:rPr>
                  <w:rStyle w:val="Hyperlink"/>
                  <w:color w:val="0563C1"/>
                  <w:rFonts w:ascii="Calibri" w:hAnsi="Calibri"/>
                  <w:sz w:val="20"/>
                </w:rPr>
                <w:t xml:space="default">https://www.inegi.org.mx/programas/enoe/15ymas/#Tabulados</w:t>
              </w:r>
            </w:hyperlink>
            <w:r>
              <w:rPr>
                <w:rFonts w:ascii="Calibri" w:hAnsi="Calibri"/>
                <w:sz w:val="20"/>
              </w:rPr>
              <w:t xml:space="preserve">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10</w:t>
            </w:r>
            <w:r>
              <w:rPr>
                <w:rFonts w:ascii="Calibri" w:hAnsi="Calibri"/>
                <w:sz w:val="20"/>
              </w:rPr>
              <w:t xml:space="default">Se refiere a la suma, sin duplicar, de las y los ocupados que son laboralmente vulnerables por la naturaleza de la unidad económica para la que trabajan, más aquellas personas cuyo vínculo o dependencia laboral no se reconoce por su fuente de trabajo. Así, en esta tasa se incluyen -además del componente que labora en micronegocios no registrados o sector informal- otras modalidades análogas, como las y los ocupados por cuenta propia en la agricultura de subsistencia, así como a quienes laboran sin la protección de la seguridad social y cuyos servicios los utilizan las unidades económicas registradas.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11</w:t>
            </w:r>
            <w:r>
              <w:rPr>
                <w:rFonts w:ascii="Calibri" w:hAnsi="Calibri"/>
                <w:sz w:val="20"/>
              </w:rPr>
              <w:t xml:space="default">Representa a la población ocupada que trabaja para una unidad económica que opera a partir de los recursos del hogar, pero sin constituirse como empresa, de modo que la actividad no tiene una situación identificable e independiente de ese hogar.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12</w:t>
            </w:r>
            <w:r>
              <w:rPr>
                <w:rFonts w:ascii="Calibri" w:hAnsi="Calibri"/>
                <w:sz w:val="20"/>
              </w:rPr>
              <w:t xml:space="default">Proporción de la población ocupada no agropecuaria que comprende la suma, sin duplicar, de las y los ocupados que son laboralmente vulnerables por la naturaleza de la unidad económica para la que trabajan, más otras y otros ocupados no agropecuarios cuyo vínculo o dependencia laboral no se reconoce por su fuente de trabajo.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13</w:t>
            </w:r>
            <w:r>
              <w:rPr>
                <w:rFonts w:ascii="Calibri" w:hAnsi="Calibri"/>
                <w:sz w:val="20"/>
              </w:rPr>
              <w:t xml:space="default">Proporción de la población ocupada que trabaja para una unidad económica no agropecuaria y que opera a partir de los recursos del hogar, pero sin constituirse como empresa. Así, los ingresos, los materiales y equipos que se utilizan para el negocio no son independientes o distinguibles de los del propio hogar. Esta tasa se calcula teniendo como referente (denominador) a la población ocupada no agropecuaria.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INEGI. Encuesta Nacional de Ocupación y Empleo (ENOE), 2026.</w:t>
            </w:r>
          </w:p>
        </w:tc>
      </w:tr>
    </w:tbl>
    <w:p>
      <w:pPr>
        <w:pStyle w:val="FirstParagraph"/>
      </w:pPr>
    </w:p>
    <w:sectP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360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8" Target="numbering.xml"/>
  <Relationship Type="http://schemas.openxmlformats.org/officeDocument/2006/relationships/styles" Id="rId7" Target="styles.xml"/>
  <Relationship Type="http://schemas.openxmlformats.org/officeDocument/2006/relationships/settings" Id="rId6" Target="settings.xml"/>
  <Relationship Type="http://schemas.openxmlformats.org/officeDocument/2006/relationships/webSettings" Id="rId5" Target="webSettings.xml"/>
  <Relationship Type="http://schemas.openxmlformats.org/officeDocument/2006/relationships/fontTable" Id="rId4" Target="fontTable.xml"/>
  <Relationship Type="http://schemas.openxmlformats.org/officeDocument/2006/relationships/theme" Id="rId3" Target="theme/theme1.xml"/>
  <Relationship Type="http://schemas.openxmlformats.org/officeDocument/2006/relationships/footnotes" Id="rId2" Target="footnotes.xml"/>
  <Relationship Type="http://schemas.openxmlformats.org/officeDocument/2006/relationships/comments" Id="rId1" Target="comments.xml"/>
  <Relationship Id="rId9" Type="http://schemas.openxmlformats.org/officeDocument/2006/relationships/hyperlink" Target="https://www.inegi.org.mx/programas/enoe/15ymas/#Tabulados" TargetMode="Externa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2026-07-22T05:08:44Z</dcterms:created>
  <dcterms:modified xsi:type="dcterms:W3CDTF">2026-07-22T05:08:44Z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