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Os Rótulos Auxiliam o Notar</w:t>
      </w:r>
    </w:p>
    <w:p>
      <w:r>
        <w:rPr>
          <w:i/>
          <w:color w:val="555555"/>
        </w:rPr>
        <w:t>Labels Aid Noting</w:t>
      </w:r>
    </w:p>
    <w:tbl>
      <w:tblPr>
        <w:tblW w:type="auto" w:w="0"/>
        <w:tblLook w:firstColumn="1" w:firstRow="1" w:lastColumn="0" w:lastRow="0" w:noHBand="0" w:noVBand="1" w:val="04A0"/>
      </w:tblPr>
      <w:tblGrid>
        <w:gridCol w:w="7353"/>
        <w:gridCol w:w="7353"/>
      </w:tblGrid>
      <w:tr>
        <w:tc>
          <w:tcPr>
            <w:tcW w:type="dxa" w:w="7370"/>
          </w:tcPr>
          <w:p>
            <w:r>
              <w:t xml:space="preserve">Notar um evento sensorial significa reconhecer claramente a sua presença e, então, focar nele por um instante. Depois desse breve momento de estar “plenamente presente” àquele evento, você nota de novo — o mesmo evento, ou um novo. O único propósito de rotular é auxiliar o </w:t>
            </w:r>
            <w:r>
              <w:rPr>
                <w:smallCaps/>
              </w:rPr>
              <w:t>notar</w:t>
            </w:r>
            <w:r>
              <w:t xml:space="preserve">. Como já foi dito, o ritmo do rótulo ajuda você a manter uma continuidade de concentração. A escolha de palavras dos rótulos ajuda você a manter um estado de </w:t>
            </w:r>
            <w:r>
              <w:rPr>
                <w:smallCaps/>
              </w:rPr>
              <w:t>clareza sensorial</w:t>
            </w:r>
            <w:r>
              <w:t xml:space="preserve">. E o tom dos rótulos ajuda você a manter uma atitude de </w:t>
            </w:r>
            <w:r>
              <w:rPr>
                <w:smallCaps/>
              </w:rPr>
              <w:t>equanimidade</w:t>
            </w:r>
            <w:r>
              <w:t xml:space="preserve">. Diremos que qualquer pessoa que esteja rotulando num ritmo confortável, com um tom equânime, e usando palavras de rótulo apropriadas está, por definição, fazendo a técnica com </w:t>
            </w:r>
            <w:r>
              <w:rPr>
                <w:smallCaps/>
              </w:rPr>
              <w:t>consciência plena</w:t>
            </w:r>
            <w:r>
              <w:t xml:space="preserve"> suficiente.</w:t>
            </w:r>
          </w:p>
        </w:tc>
        <w:tc>
          <w:tcPr>
            <w:tcW w:type="dxa" w:w="7370"/>
          </w:tcPr>
          <w:p>
            <w:r>
              <w:rPr>
                <w:color w:val="555555"/>
              </w:rPr>
              <w:t>To note a sensory event means to clearly acknowledge its presence and then to briefly focus on it. After that brief moment of being “fully present” to that event, you note again—either the same event or a new one. The sole purpose of labeling is to aid noting. As mentioned previously, the pacing of the label helps you to maintain a continuity of concentration. The wording of the labels helps you to maintain a state of sensory clarity. And the tone of the labels helps you to maintain an attitude of equanimity. We will say that anyone who's labeling at a comfortable pace with an equanimity voice and using appropriate label words is, by definition, doing the technique with enough mindful awareness.</w:t>
            </w:r>
          </w:p>
        </w:tc>
      </w:tr>
      <w:tr>
        <w:tc>
          <w:tcPr>
            <w:tcW w:type="dxa" w:w="7370"/>
          </w:tcPr>
          <w:p>
            <w:r>
              <w:t xml:space="preserve">Então, os rótulos ajudam a manter o notar, e essa é a sua única função. Se você consegue manter um ritmo sólido de notar sem rotular intencionalmente, sinta-se à vontade para largar os rótulos quando quiser. Isso te dá duas formas básicas de notar: chamaremos a primeira de “notar com rótulos”, e a segunda de “notar sem rótulos”. Às vezes, podemos nos referir ao notar sem rótulos como “notar com </w:t>
            </w:r>
            <w:r>
              <w:rPr>
                <w:smallCaps/>
              </w:rPr>
              <w:t>consciência direta</w:t>
            </w:r>
            <w:r>
              <w:t>”. Sinta-se à vontade para alternar entre essas duas possibilidades, ou para usar principalmente uma delas — a que mais te agradar. Mas lembre-se: se você achar difícil se concentrar, ou difícil permanecer aberto às coisas, sua resposta automática deve ser começar, imediatamente, os rótulos falados, ou talvez até os rótulos falados com força. E manter isso até voltar aos trilhos.</w:t>
            </w:r>
          </w:p>
        </w:tc>
        <w:tc>
          <w:tcPr>
            <w:tcW w:type="dxa" w:w="7370"/>
          </w:tcPr>
          <w:p>
            <w:r>
              <w:rPr>
                <w:color w:val="555555"/>
              </w:rPr>
              <w:t>So the labels help maintain the noting and that's their only function. If you can maintain a solid rhythm of noting without intentionally labeling, feel free to drop the labels any time you want. This gives you two basic ways to note: we'll call the first “noting with labels” and we'll call the second “noting without labels.” Sometimes we may refer to noting without labels as “noting with direct awareness.” Feel free to switch between those two possibilities or mostly to use just one of them – whichever appeals to you. But remember, if you find it difficult to concentrate or find it difficult to remain open to things, your automatic response should be to immediately start spoken labels or perhaps even strongly spoken labels. And maintain that until you're back on track.</w:t>
            </w:r>
          </w:p>
        </w:tc>
      </w:tr>
      <w:tr>
        <w:tc>
          <w:tcPr>
            <w:tcW w:type="dxa" w:w="7370"/>
          </w:tcPr>
          <w:p>
            <w:r>
              <w:t>Então, um período de prática do notar (tipicamente) envolve uma sequência: reconhecer, focar, reconhecer, focar, reconhecer, focar…. Alguns professores de mindfulness comparam a fase de reconhecimento a mirar num alvo sensorial, e a fase de foco a disparar a consciência para dentro desse alvo.</w:t>
            </w:r>
          </w:p>
        </w:tc>
        <w:tc>
          <w:tcPr>
            <w:tcW w:type="dxa" w:w="7370"/>
          </w:tcPr>
          <w:p>
            <w:r>
              <w:rPr>
                <w:color w:val="555555"/>
              </w:rPr>
              <w:t>So a period of noting practice (typically) involves a sequence: acknowledge, focus, acknowledge, focus, acknowledge, focus…. Some mindfulness teachers compare the acknowledgment phase to aiming at a sensory target and the focus phase to shooting awareness into that target.</w:t>
            </w:r>
          </w:p>
        </w:tc>
      </w:tr>
      <w:tr>
        <w:tc>
          <w:tcPr>
            <w:tcW w:type="dxa" w:w="7370"/>
          </w:tcPr>
          <w:p>
            <w:r>
              <w:t xml:space="preserve">No entanto, pode haver exceções a esse padrão. É por isso que a palavra “tipicamente” aparece no parágrafo acima. A principal exceção surge quando as coisas que você está reconhecendo desaparecem tão rápido que não há tempo de focar nelas. Às vezes, as pessoas pensam nessa situação como um problema: “Eu nunca tenho tempo suficiente para mergulhar em nada.” Mas essa situação, enfaticamente, não é um problema. É o oposto de um problema. É uma enorme oportunidade de ter um insight sobre a natureza impermanente das experiências sensoriais. (Para detalhes, veja O Poder do Passou.) Alguém poderia objetar: “Se tudo de que tenho consciência são passagens imediatas, onde está a concentração? Onde está a clareza?” A resposta é simples: o objeto da concentração é o incessante passar, e a clareza é a capacidade de detectar continuamente esse passar. Se você está constantemente consciente do passar, você está sendo continuamente chamado ao </w:t>
            </w:r>
            <w:r>
              <w:rPr>
                <w:smallCaps/>
              </w:rPr>
              <w:t>Repouso Absoluto</w:t>
            </w:r>
            <w:r>
              <w:t xml:space="preserve"> — o ponto imóvel do mundo que gira.</w:t>
            </w:r>
          </w:p>
        </w:tc>
        <w:tc>
          <w:tcPr>
            <w:tcW w:type="dxa" w:w="7370"/>
          </w:tcPr>
          <w:p>
            <w:r>
              <w:rPr>
                <w:color w:val="555555"/>
              </w:rPr>
              <w:t>However, there can be exceptions to this pattern. That's why the word “typically” appears in the paragraph above. The main exception comes about when the things you're acknowledging disappear so fast there's no time to focus on them. Sometimes people think of this situation as a problem: “I never have enough time to sink into anything.” But this situation is emphatically not a problem. It's the opposite of a problem. It's a huge opportunity to get insight into the impermanent nature of sensory experiences. (For details see The Power of Gone.) A person might object: “If all I'm aware of is immediate passings, where's the concentration? Where's the clarity?” The answer is simple: the object of concentration is incessant gone-ness and the clarity is the ability to continuously detect that goneness. If you're constantly aware of goneness, you're continuously being called to Absolute Rest—the still point of the turning world.</w:t>
            </w:r>
          </w:p>
        </w:tc>
      </w:tr>
      <w:tr>
        <w:tc>
          <w:tcPr>
            <w:tcW w:type="dxa" w:w="7370"/>
          </w:tcPr>
          <w:p>
            <w:r>
              <w:t>Num ponto relacionado: às vezes, o próprio ato de observar faz algo desaparecer, ou faz um sistema sensorial cair num modo relativamente repousante. Um exemplo clássico disso ocorre no sistema da fala mental. Você pode notar que, assim que detecta o começo de uma frase mental, aquela frase some imediatamente. Ou você pode notar que manter a atenção no espaço da fala (ou seja, na sua cabeça e/ou nos seus ouvidos) faz a fala mental parar de surgir. Problema? De jeito nenhum! Em primeiro lugar, se reconhecer a fala a faz desaparecer, use isso como uma oportunidade de detectar “passou”. E se observar o sistema da fala o faz aquietar, use isso como uma oportunidade de ouvir o repouso auditivo interno. Alguém pode objetar que esses fenômenos induzidos pela observação são artefatos, e não parte do “que realmente está lá”. Mas, no paradigma do Mindfulness Unificado, você adota uma perspectiva diferente. O princípio geral é …</w:t>
            </w:r>
          </w:p>
        </w:tc>
        <w:tc>
          <w:tcPr>
            <w:tcW w:type="dxa" w:w="7370"/>
          </w:tcPr>
          <w:p>
            <w:r>
              <w:rPr>
                <w:color w:val="555555"/>
              </w:rPr>
              <w:t>On a related note, sometimes the very act of observing will cause something to disappear or cause a sensory system to drop into a relatively restful mode. A classical example of this occurs in the mental talk system. You may find that as soon as you detect the beginning of a mental sentence, that sentence immediately drops away. Or you may find that maintaining attention in talk space (i.e., in your head and/or at your ears) causes mental talk to cease arising. Problem? Not at all! First of all, if acknowledging talk makes it disappear, use that as an opportunity to detect “gone.” And if observing the talk system causes it to get quiet, use that as an opportunity to hear inner auditory rest. A person may object that such observation-induced phenomena are artifacts, not part of “what's really there.” But in the Unified Mindfulness paradigm you take a different perspective. The general principle is …</w:t>
            </w:r>
          </w:p>
        </w:tc>
      </w:tr>
      <w:tr>
        <w:tc>
          <w:tcPr>
            <w:tcW w:type="dxa" w:w="7370"/>
          </w:tcPr>
          <w:p>
            <w:r>
              <w:rPr>
                <w:b/>
              </w:rPr>
              <w:t>O ato de observar pode alterar a coisa que está sendo observada. Se isso acontecer, observe a alteração assim como você observaria qualquer outro fenômeno.</w:t>
            </w:r>
          </w:p>
        </w:tc>
        <w:tc>
          <w:tcPr>
            <w:tcW w:type="dxa" w:w="7370"/>
          </w:tcPr>
          <w:p>
            <w:r>
              <w:rPr>
                <w:b/>
                <w:color w:val="555555"/>
              </w:rPr>
              <w:t>The act of observing may alter the thing being observed. If that happens, observe the alteration just as you would any other phenomena.</w:t>
            </w:r>
          </w:p>
        </w:tc>
      </w:tr>
      <w:tr>
        <w:tc>
          <w:tcPr>
            <w:tcW w:type="dxa" w:w="7370"/>
          </w:tcPr>
          <w:p>
            <w:r>
              <w:t>Em outras palavras, se existe algum tipo de “verdade” que devemos detectar, ela tem a ver com a natureza básica de toda experiência sensorial, independentemente do que cause essa experiência.</w:t>
            </w:r>
          </w:p>
        </w:tc>
        <w:tc>
          <w:tcPr>
            <w:tcW w:type="dxa" w:w="7370"/>
          </w:tcPr>
          <w:p>
            <w:r>
              <w:rPr>
                <w:color w:val="555555"/>
              </w:rPr>
              <w:t>In other words, if there is some sort of “truth” that we're supposed to be detecting, it has to do with the basic nature of every sensory experience, regardless of what causes that experience.</w:t>
            </w:r>
          </w:p>
        </w:tc>
      </w:tr>
      <w:tr>
        <w:tc>
          <w:tcPr>
            <w:tcW w:type="dxa" w:w="7370"/>
          </w:tcPr>
          <w:p>
            <w:r>
              <w:t>Um último ponto: em alguns sistemas de mindfulness, o notar é equiparado ao rotular. Mas, no Mindfulness Unificado, eles são claramente distinguidos — ou seja, rotular é um recurso opcional do notar, e o notar é uma das formas de desenvolver a consciência plena. Lembre-se do diagrama de Venn que apareceu antes:</w:t>
            </w:r>
          </w:p>
        </w:tc>
        <w:tc>
          <w:tcPr>
            <w:tcW w:type="dxa" w:w="7370"/>
          </w:tcPr>
          <w:p>
            <w:r>
              <w:rPr>
                <w:color w:val="555555"/>
              </w:rPr>
              <w:t>One final point: in some systems of mindfulness, noting is equated with labeling. But in Unified Mindfulness they are clearly distinguished – i.e., labeling is an optional feature of noting and noting is one way to develop mindful awareness. Recall the Venn diagram that appeared earlier:</w:t>
            </w:r>
          </w:p>
        </w:tc>
      </w:tr>
    </w:tbl>
    <w:p/>
    <w:p>
      <w:r>
        <w:t>[Diagrama de Venn — caixas aninhadas] Ver-Ouvir-Sentir ⊂ Notar ⊂ Práticas de Consciência Plena ⊂ Coisas que você pode fazer para otimizar felicidade e sucesso.</w:t>
      </w:r>
    </w:p>
    <w:p>
      <w:pPr>
        <w:pStyle w:val="Heading1"/>
      </w:pPr>
      <w:r>
        <w:t>Quiz</w:t>
      </w:r>
    </w:p>
    <w:p>
      <w:r>
        <w:rPr>
          <w:i/>
          <w:color w:val="555555"/>
        </w:rPr>
        <w:t>Quiz</w:t>
      </w:r>
    </w:p>
    <w:tbl>
      <w:tblPr>
        <w:tblW w:type="auto" w:w="0"/>
        <w:tblLook w:firstColumn="1" w:firstRow="1" w:lastColumn="0" w:lastRow="0" w:noHBand="0" w:noVBand="1" w:val="04A0"/>
      </w:tblPr>
      <w:tblGrid>
        <w:gridCol w:w="7353"/>
        <w:gridCol w:w="7353"/>
      </w:tblGrid>
      <w:tr>
        <w:tc>
          <w:tcPr>
            <w:tcW w:type="dxa" w:w="7370"/>
          </w:tcPr>
          <w:p>
            <w:r>
              <w:t>1. O notar tipicamente envolve um ritmo de reconhecer, focar, reconhecer, focar, reconhecer, focar.… Há, no entanto, uma exceção comum a esse padrão. Descreva essa exceção.</w:t>
            </w:r>
          </w:p>
        </w:tc>
        <w:tc>
          <w:tcPr>
            <w:tcW w:type="dxa" w:w="7370"/>
          </w:tcPr>
          <w:p>
            <w:r>
              <w:rPr>
                <w:color w:val="555555"/>
              </w:rPr>
              <w:t>1. Noting typically involves a rhythm of acknowledge, focus, acknowledge, focus, acknowledge, focus.… There is, however, a common exception to this pattern. Describe that exception.</w:t>
            </w:r>
          </w:p>
        </w:tc>
      </w:tr>
      <w:tr>
        <w:tc>
          <w:tcPr>
            <w:tcW w:type="dxa" w:w="7370"/>
          </w:tcPr>
          <w:p>
            <w:r>
              <w:t>2. Digamos que você esteja interessado em acompanhar a sua fala mental, mas perceba que o próprio ato de observar faz cada explosão de fala mental sumir imediatamente. Isso é um problema? Se não, por quê?</w:t>
            </w:r>
          </w:p>
        </w:tc>
        <w:tc>
          <w:tcPr>
            <w:tcW w:type="dxa" w:w="7370"/>
          </w:tcPr>
          <w:p>
            <w:r>
              <w:rPr>
                <w:color w:val="555555"/>
              </w:rPr>
              <w:t>2. Say that you're interested in tracking your mental talk but you find that the very act of observing makes each burst of mental talk immediately vanish. Is this a problem? If not, why not?</w:t>
            </w:r>
          </w:p>
        </w:tc>
      </w:tr>
      <w:tr>
        <w:tc>
          <w:tcPr>
            <w:tcW w:type="dxa" w:w="7370"/>
          </w:tcPr>
          <w:p>
            <w:r>
              <w:t>3. Qual é a relação entre rotular e notar?</w:t>
            </w:r>
          </w:p>
        </w:tc>
        <w:tc>
          <w:tcPr>
            <w:tcW w:type="dxa" w:w="7370"/>
          </w:tcPr>
          <w:p>
            <w:r>
              <w:rPr>
                <w:color w:val="555555"/>
              </w:rPr>
              <w:t>3. What is the relationship between labeling and noting?</w:t>
            </w:r>
          </w:p>
        </w:tc>
      </w:tr>
      <w:tr>
        <w:tc>
          <w:tcPr>
            <w:tcW w:type="dxa" w:w="7370"/>
          </w:tcPr>
          <w:p>
            <w:r>
              <w:t>4. Qual é a relação entre notar e consciência plena?</w:t>
            </w:r>
          </w:p>
        </w:tc>
        <w:tc>
          <w:tcPr>
            <w:tcW w:type="dxa" w:w="7370"/>
          </w:tcPr>
          <w:p>
            <w:r>
              <w:rPr>
                <w:color w:val="555555"/>
              </w:rPr>
              <w:t>4. What is the relationship between noting and mindful awareness?</w:t>
            </w:r>
          </w:p>
        </w:tc>
      </w:tr>
    </w:tbl>
    <w:p/>
    <w:p>
      <w:pPr>
        <w:pStyle w:val="Heading1"/>
      </w:pPr>
      <w:r>
        <w:t>Respostas do Quiz</w:t>
      </w:r>
    </w:p>
    <w:p>
      <w:r>
        <w:rPr>
          <w:i/>
          <w:color w:val="555555"/>
        </w:rPr>
        <w:t>Answers to Quiz</w:t>
      </w:r>
    </w:p>
    <w:tbl>
      <w:tblPr>
        <w:tblW w:type="auto" w:w="0"/>
        <w:tblLook w:firstColumn="1" w:firstRow="1" w:lastColumn="0" w:lastRow="0" w:noHBand="0" w:noVBand="1" w:val="04A0"/>
      </w:tblPr>
      <w:tblGrid>
        <w:gridCol w:w="7353"/>
        <w:gridCol w:w="7353"/>
      </w:tblGrid>
      <w:tr>
        <w:tc>
          <w:tcPr>
            <w:tcW w:type="dxa" w:w="7370"/>
          </w:tcPr>
          <w:p>
            <w:r>
              <w:t>1. Quando a coisa que está sendo notada desaparece imediatamente, assim que você a reconhece. Não há tempo para a Fase de Foco.</w:t>
            </w:r>
          </w:p>
        </w:tc>
        <w:tc>
          <w:tcPr>
            <w:tcW w:type="dxa" w:w="7370"/>
          </w:tcPr>
          <w:p>
            <w:r>
              <w:rPr>
                <w:color w:val="555555"/>
              </w:rPr>
              <w:t>1. When the thing being noted immediately disappears as soon as you acknowledge it. There's no time for the Focus Phase.</w:t>
            </w:r>
          </w:p>
        </w:tc>
      </w:tr>
      <w:tr>
        <w:tc>
          <w:tcPr>
            <w:tcW w:type="dxa" w:w="7370"/>
          </w:tcPr>
          <w:p>
            <w:r>
              <w:t>2. Não, não é um problema, porque é um exemplo de detecção da impermanência. Detectar a impermanência das experiências sensoriais é uma forma significativa de clareza.</w:t>
            </w:r>
          </w:p>
        </w:tc>
        <w:tc>
          <w:tcPr>
            <w:tcW w:type="dxa" w:w="7370"/>
          </w:tcPr>
          <w:p>
            <w:r>
              <w:rPr>
                <w:color w:val="555555"/>
              </w:rPr>
              <w:t>2. No, it's not a problem because it's an example of detecting impermanence. Detecting the impermanence of sensory experiences is a significant form of clarity.</w:t>
            </w:r>
          </w:p>
        </w:tc>
      </w:tr>
      <w:tr>
        <w:tc>
          <w:tcPr>
            <w:tcW w:type="dxa" w:w="7370"/>
          </w:tcPr>
          <w:p>
            <w:r>
              <w:t>3. Os rótulos auxiliam o Notar.</w:t>
            </w:r>
          </w:p>
        </w:tc>
        <w:tc>
          <w:tcPr>
            <w:tcW w:type="dxa" w:w="7370"/>
          </w:tcPr>
          <w:p>
            <w:r>
              <w:rPr>
                <w:color w:val="555555"/>
              </w:rPr>
              <w:t>3. Labels aid Noting.</w:t>
            </w:r>
          </w:p>
        </w:tc>
      </w:tr>
      <w:tr>
        <w:tc>
          <w:tcPr>
            <w:tcW w:type="dxa" w:w="7370"/>
          </w:tcPr>
          <w:p>
            <w:r>
              <w:t>4. O notar é uma das formas de desenvolver a Consciência Plena.</w:t>
            </w:r>
          </w:p>
        </w:tc>
        <w:tc>
          <w:tcPr>
            <w:tcW w:type="dxa" w:w="7370"/>
          </w:tcPr>
          <w:p>
            <w:r>
              <w:rPr>
                <w:color w:val="555555"/>
              </w:rPr>
              <w:t>4. Noting is one way to develop Mindful Awareness.</w:t>
            </w:r>
          </w:p>
        </w:tc>
      </w:tr>
    </w:tbl>
    <w:p/>
    <w:sectPr w:rsidR="00FC693F" w:rsidRPr="0006063C" w:rsidSect="00034616">
      <w:pgSz w:w="15840" w:h="12240"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