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 Rótulos Podem Ser Flexíveis</w:t>
      </w:r>
    </w:p>
    <w:p>
      <w:pPr/>
      <w:r>
        <w:rPr>
          <w:color w:val="555555"/>
        </w:rPr>
        <w:t>Labels Can Be Flexible</w:t>
      </w:r>
    </w:p>
    <w:tbl>
      <w:tblPr>
        <w:tblW w:type="auto" w:w="0"/>
        <w:tblLayout w:type="fixed"/>
        <w:tblLook w:firstColumn="1" w:firstRow="1" w:lastColumn="0" w:lastRow="0" w:noHBand="0" w:noVBand="1" w:val="04A0"/>
      </w:tblPr>
      <w:tblGrid>
        <w:gridCol w:w="7353"/>
        <w:gridCol w:w="7353"/>
      </w:tblGrid>
      <w:tr>
        <w:tc>
          <w:tcPr>
            <w:tcW w:type="dxa" w:w="7353"/>
          </w:tcPr>
          <w:p>
            <w:r>
              <w:t>Digamos que você queira explorar a experiência de repouso por meia hora. Em outras palavras, durante a próxima meia hora, o seu alcance de foco será apenas os estados de repouso. Você poderia rotular as coisas assim:</w:t>
            </w:r>
          </w:p>
        </w:tc>
        <w:tc>
          <w:tcPr>
            <w:tcW w:type="dxa" w:w="7353"/>
          </w:tcPr>
          <w:p>
            <w:r>
              <w:rPr>
                <w:color w:val="555555"/>
              </w:rPr>
              <w:t>Say you would like to explore restful experience for a half hour. In other words, for the next half hour your focus range will be restful states only. You could label things this way:</w:t>
            </w:r>
          </w:p>
        </w:tc>
      </w:tr>
      <w:tr>
        <w:tc>
          <w:tcPr>
            <w:tcW w:type="dxa" w:w="7353"/>
          </w:tcPr>
          <w:p>
            <w:r>
              <w:t>“Ver Repouso” para coisas como:</w:t>
            </w:r>
          </w:p>
        </w:tc>
        <w:tc>
          <w:tcPr>
            <w:tcW w:type="dxa" w:w="7353"/>
          </w:tcPr>
          <w:p>
            <w:r>
              <w:rPr>
                <w:color w:val="555555"/>
              </w:rPr>
              <w:t>“See Rest” for things like:</w:t>
            </w:r>
          </w:p>
        </w:tc>
      </w:tr>
      <w:tr>
        <w:tc>
          <w:tcPr>
            <w:tcW w:type="dxa" w:w="7353"/>
          </w:tcPr>
          <w:p>
            <w:r>
              <w:t>• Escuridão/luminosidade à frente de/atrás dos seus olhos fechados.</w:t>
            </w:r>
          </w:p>
        </w:tc>
        <w:tc>
          <w:tcPr>
            <w:tcW w:type="dxa" w:w="7353"/>
          </w:tcPr>
          <w:p>
            <w:r>
              <w:rPr>
                <w:color w:val="555555"/>
              </w:rPr>
              <w:t>• Darkness/brightness in front of/behind your closed eyes.</w:t>
            </w:r>
          </w:p>
        </w:tc>
      </w:tr>
      <w:tr>
        <w:tc>
          <w:tcPr>
            <w:tcW w:type="dxa" w:w="7353"/>
          </w:tcPr>
          <w:p>
            <w:r>
              <w:t>• Olhar externo desfocado/suavemente focado.</w:t>
            </w:r>
          </w:p>
        </w:tc>
        <w:tc>
          <w:tcPr>
            <w:tcW w:type="dxa" w:w="7353"/>
          </w:tcPr>
          <w:p>
            <w:r>
              <w:rPr>
                <w:color w:val="555555"/>
              </w:rPr>
              <w:t>• Defocused/soft-focused external gaze.</w:t>
            </w:r>
          </w:p>
        </w:tc>
      </w:tr>
      <w:tr>
        <w:tc>
          <w:tcPr>
            <w:tcW w:type="dxa" w:w="7353"/>
          </w:tcPr>
          <w:p>
            <w:r>
              <w:t>• Ausência de imagem mental.</w:t>
            </w:r>
          </w:p>
        </w:tc>
        <w:tc>
          <w:tcPr>
            <w:tcW w:type="dxa" w:w="7353"/>
          </w:tcPr>
          <w:p>
            <w:r>
              <w:rPr>
                <w:color w:val="555555"/>
              </w:rPr>
              <w:t>• Absence of mental image.</w:t>
            </w:r>
          </w:p>
        </w:tc>
      </w:tr>
      <w:tr>
        <w:tc>
          <w:tcPr>
            <w:tcW w:type="dxa" w:w="7353"/>
          </w:tcPr>
          <w:p>
            <w:r>
              <w:t>• Etc.</w:t>
            </w:r>
          </w:p>
        </w:tc>
        <w:tc>
          <w:tcPr>
            <w:tcW w:type="dxa" w:w="7353"/>
          </w:tcPr>
          <w:p>
            <w:r>
              <w:rPr>
                <w:color w:val="555555"/>
              </w:rPr>
              <w:t>• Etc.</w:t>
            </w:r>
          </w:p>
        </w:tc>
      </w:tr>
      <w:tr>
        <w:tc>
          <w:tcPr>
            <w:tcW w:type="dxa" w:w="7353"/>
          </w:tcPr>
          <w:p>
            <w:r>
              <w:t>“Ouvir Repouso” para coisas como:</w:t>
            </w:r>
          </w:p>
        </w:tc>
        <w:tc>
          <w:tcPr>
            <w:tcW w:type="dxa" w:w="7353"/>
          </w:tcPr>
          <w:p>
            <w:r>
              <w:rPr>
                <w:color w:val="555555"/>
              </w:rPr>
              <w:t>“Hear Rest” for things like:</w:t>
            </w:r>
          </w:p>
        </w:tc>
      </w:tr>
      <w:tr>
        <w:tc>
          <w:tcPr>
            <w:tcW w:type="dxa" w:w="7353"/>
          </w:tcPr>
          <w:p>
            <w:r>
              <w:t>• Silêncio físico.</w:t>
            </w:r>
          </w:p>
        </w:tc>
        <w:tc>
          <w:tcPr>
            <w:tcW w:type="dxa" w:w="7353"/>
          </w:tcPr>
          <w:p>
            <w:r>
              <w:rPr>
                <w:color w:val="555555"/>
              </w:rPr>
              <w:t>• Physical silence.</w:t>
            </w:r>
          </w:p>
        </w:tc>
      </w:tr>
      <w:tr>
        <w:tc>
          <w:tcPr>
            <w:tcW w:type="dxa" w:w="7353"/>
          </w:tcPr>
          <w:p>
            <w:r>
              <w:t>• Quietude mental.</w:t>
            </w:r>
          </w:p>
        </w:tc>
        <w:tc>
          <w:tcPr>
            <w:tcW w:type="dxa" w:w="7353"/>
          </w:tcPr>
          <w:p>
            <w:r>
              <w:rPr>
                <w:color w:val="555555"/>
              </w:rPr>
              <w:t>• Mental quiet.</w:t>
            </w:r>
          </w:p>
        </w:tc>
      </w:tr>
      <w:tr>
        <w:tc>
          <w:tcPr>
            <w:tcW w:type="dxa" w:w="7353"/>
          </w:tcPr>
          <w:p>
            <w:r>
              <w:t>• Etc.</w:t>
            </w:r>
          </w:p>
        </w:tc>
        <w:tc>
          <w:tcPr>
            <w:tcW w:type="dxa" w:w="7353"/>
          </w:tcPr>
          <w:p>
            <w:r>
              <w:rPr>
                <w:color w:val="555555"/>
              </w:rPr>
              <w:t>• Etc.</w:t>
            </w:r>
          </w:p>
        </w:tc>
      </w:tr>
      <w:tr>
        <w:tc>
          <w:tcPr>
            <w:tcW w:type="dxa" w:w="7353"/>
          </w:tcPr>
          <w:p>
            <w:r>
              <w:t>“Sentir Repouso” para coisas como:</w:t>
            </w:r>
          </w:p>
        </w:tc>
        <w:tc>
          <w:tcPr>
            <w:tcW w:type="dxa" w:w="7353"/>
          </w:tcPr>
          <w:p>
            <w:r>
              <w:rPr>
                <w:color w:val="555555"/>
              </w:rPr>
              <w:t>“Feel Rest” for things like:</w:t>
            </w:r>
          </w:p>
        </w:tc>
      </w:tr>
      <w:tr>
        <w:tc>
          <w:tcPr>
            <w:tcW w:type="dxa" w:w="7353"/>
          </w:tcPr>
          <w:p>
            <w:r>
              <w:t>• Relaxamento físico no seu corpo.</w:t>
            </w:r>
          </w:p>
        </w:tc>
        <w:tc>
          <w:tcPr>
            <w:tcW w:type="dxa" w:w="7353"/>
          </w:tcPr>
          <w:p>
            <w:r>
              <w:rPr>
                <w:color w:val="555555"/>
              </w:rPr>
              <w:t>• Physical relaxation in your body.</w:t>
            </w:r>
          </w:p>
        </w:tc>
      </w:tr>
      <w:tr>
        <w:tc>
          <w:tcPr>
            <w:tcW w:type="dxa" w:w="7353"/>
          </w:tcPr>
          <w:p>
            <w:r>
              <w:t>• Neutralidade emocional no seu corpo.</w:t>
            </w:r>
          </w:p>
        </w:tc>
        <w:tc>
          <w:tcPr>
            <w:tcW w:type="dxa" w:w="7353"/>
          </w:tcPr>
          <w:p>
            <w:r>
              <w:rPr>
                <w:color w:val="555555"/>
              </w:rPr>
              <w:t>• Emotional neutrality in your body.</w:t>
            </w:r>
          </w:p>
        </w:tc>
      </w:tr>
      <w:tr>
        <w:tc>
          <w:tcPr>
            <w:tcW w:type="dxa" w:w="7353"/>
          </w:tcPr>
          <w:p>
            <w:r>
              <w:t>• Etc.</w:t>
            </w:r>
          </w:p>
        </w:tc>
        <w:tc>
          <w:tcPr>
            <w:tcW w:type="dxa" w:w="7353"/>
          </w:tcPr>
          <w:p>
            <w:r>
              <w:rPr>
                <w:color w:val="555555"/>
              </w:rPr>
              <w:t>• Etc.</w:t>
            </w:r>
          </w:p>
        </w:tc>
      </w:tr>
      <w:tr>
        <w:tc>
          <w:tcPr>
            <w:tcW w:type="dxa" w:w="7353"/>
          </w:tcPr>
          <w:p>
            <w:r>
              <w:t>Mas há uma maneira ainda mais simples de fazer isso. Você já sabe que, durante a próxima meia hora, o seu alcance de foco estará restrito aos estados de repouso. Então você poderia dispensar o especificador Repouso e dizer apenas:</w:t>
            </w:r>
          </w:p>
        </w:tc>
        <w:tc>
          <w:tcPr>
            <w:tcW w:type="dxa" w:w="7353"/>
          </w:tcPr>
          <w:p>
            <w:r>
              <w:rPr>
                <w:color w:val="555555"/>
              </w:rPr>
              <w:t>But there’s an even simpler way to go about this. You already know that for the next half hour your focus range will be restricted to restful states. So you could drop the specifier Rest and just say:</w:t>
            </w:r>
          </w:p>
        </w:tc>
      </w:tr>
      <w:tr>
        <w:tc>
          <w:tcPr>
            <w:tcW w:type="dxa" w:w="7353"/>
          </w:tcPr>
          <w:p>
            <w:r>
              <w:t>• “Ver” para qualquer forma de repouso visual.</w:t>
            </w:r>
          </w:p>
        </w:tc>
        <w:tc>
          <w:tcPr>
            <w:tcW w:type="dxa" w:w="7353"/>
          </w:tcPr>
          <w:p>
            <w:r>
              <w:rPr>
                <w:color w:val="555555"/>
              </w:rPr>
              <w:t>• “See” for any form of visual rest.</w:t>
            </w:r>
          </w:p>
        </w:tc>
      </w:tr>
      <w:tr>
        <w:tc>
          <w:tcPr>
            <w:tcW w:type="dxa" w:w="7353"/>
          </w:tcPr>
          <w:p>
            <w:r>
              <w:t>• “Ouvir” para qualquer forma de repouso auditivo.</w:t>
            </w:r>
          </w:p>
        </w:tc>
        <w:tc>
          <w:tcPr>
            <w:tcW w:type="dxa" w:w="7353"/>
          </w:tcPr>
          <w:p>
            <w:r>
              <w:rPr>
                <w:color w:val="555555"/>
              </w:rPr>
              <w:t>• “Hear” for any form of auditory rest.</w:t>
            </w:r>
          </w:p>
        </w:tc>
      </w:tr>
      <w:tr>
        <w:tc>
          <w:tcPr>
            <w:tcW w:type="dxa" w:w="7353"/>
          </w:tcPr>
          <w:p>
            <w:r>
              <w:t>• “Sentir” para qualquer forma de repouso corporal.</w:t>
            </w:r>
          </w:p>
        </w:tc>
        <w:tc>
          <w:tcPr>
            <w:tcW w:type="dxa" w:w="7353"/>
          </w:tcPr>
          <w:p>
            <w:r>
              <w:rPr>
                <w:color w:val="555555"/>
              </w:rPr>
              <w:t>• “Feel” for any form of body rest.</w:t>
            </w:r>
          </w:p>
        </w:tc>
      </w:tr>
      <w:tr>
        <w:tc>
          <w:tcPr>
            <w:tcW w:type="dxa" w:w="7353"/>
          </w:tcPr>
          <w:p>
            <w:r>
              <w:t>Da mesma forma, se você estiver restringindo o seu alcance de foco à atividade interna (isto é, pensamentos ou emoções – Focar Dentro), você poderia usar as mesmas palavras, mas saber que, por ora, Ver se refere a imagens mentais, Ouvir se refere à fala mental, e Sentir se refere a sensações corporais do tipo emocional. Ou digamos que você restrinja à Atividade Externa (isto é, os sentidos físicos – Focar Fora); nesse caso, Ver se refere a imagens físicas, Ouvir se refere a sons físicos, e Sentir se refere a sensações corporais do tipo físico. E o mesmo vale para os temas de Flow e Espaçosidade.</w:t>
            </w:r>
          </w:p>
        </w:tc>
        <w:tc>
          <w:tcPr>
            <w:tcW w:type="dxa" w:w="7353"/>
          </w:tcPr>
          <w:p>
            <w:r>
              <w:rPr>
                <w:color w:val="555555"/>
              </w:rPr>
              <w:t>Likewise, if you are restricting your focus range to inner activity (i.e., thoughts or emotions – Focus In), you could use the same words but know that, for the present, See refers to mental images, Hear refers to mental talk, and Feel refers to emotional-type body sensations. Or say you restrict to Outer Activity (i.e., the physical senses – Focus Out), in this case See refers to physical sights, Hear refers to physical sounds, Feel refers to physical-type body sensations. And likewise for the themes of Flow and Spaciousness.</w:t>
            </w:r>
          </w:p>
        </w:tc>
      </w:tr>
      <w:tr>
        <w:tc>
          <w:tcPr>
            <w:tcW w:type="dxa" w:w="7353"/>
          </w:tcPr>
          <w:p>
            <w:r>
              <w:t>Outro exemplo. Digamos que você queira ignorar os eventos auditivos e corporais por um tempo e explorar apenas o modal visual. Nesse caso, você usaria a única palavra Ver para qualquer experiência visual. Um princípio semelhante valeria se você fosse explorar apenas a experiência auditiva ou apenas a experiência corporal.</w:t>
            </w:r>
          </w:p>
        </w:tc>
        <w:tc>
          <w:tcPr>
            <w:tcW w:type="dxa" w:w="7353"/>
          </w:tcPr>
          <w:p>
            <w:r>
              <w:rPr>
                <w:color w:val="555555"/>
              </w:rPr>
              <w:t>Another example. Say you wish to ignore auditory and body events for a while and just explore the visual modality. In this case you would use the single word See for any visual experience. A similar principle would hold if you were to explore just auditory experience or just body experience.</w:t>
            </w:r>
          </w:p>
        </w:tc>
      </w:tr>
      <w:tr>
        <w:tc>
          <w:tcPr>
            <w:tcW w:type="dxa" w:w="7353"/>
          </w:tcPr>
          <w:p>
            <w:r>
              <w:t>Resumindo, com a rotulação flexível, há apenas um conceito a dominar:</w:t>
            </w:r>
          </w:p>
        </w:tc>
        <w:tc>
          <w:tcPr>
            <w:tcW w:type="dxa" w:w="7353"/>
          </w:tcPr>
          <w:p>
            <w:r>
              <w:rPr>
                <w:color w:val="555555"/>
              </w:rPr>
              <w:t>To sum it up, with flexible labeling there’s just one concept to master:</w:t>
            </w:r>
          </w:p>
        </w:tc>
      </w:tr>
    </w:tbl>
    <w:p>
      <w:pPr>
        <w:jc w:val="center"/>
      </w:pPr>
      <w:r>
        <w:rPr>
          <w:b/>
        </w:rPr>
        <w:t>O SIGNIFICADO DO RÓTULO DEPENDE DO ALCANCE DE FOCO</w:t>
        <w:br/>
      </w:r>
      <w:r>
        <w:rPr>
          <w:i/>
          <w:color w:val="555555"/>
          <w:sz w:val="20"/>
        </w:rPr>
        <w:t>(The meaning of the label depends on your focus range.)</w:t>
      </w:r>
    </w:p>
    <w:tbl>
      <w:tblPr>
        <w:tblW w:type="auto" w:w="0"/>
        <w:tblLayout w:type="fixed"/>
        <w:tblLook w:firstColumn="1" w:firstRow="1" w:lastColumn="0" w:lastRow="0" w:noHBand="0" w:noVBand="1" w:val="04A0"/>
      </w:tblPr>
      <w:tblGrid>
        <w:gridCol w:w="7353"/>
        <w:gridCol w:w="7353"/>
      </w:tblGrid>
      <w:tr>
        <w:tc>
          <w:tcPr>
            <w:tcW w:type="dxa" w:w="7353"/>
          </w:tcPr>
          <w:p>
            <w:r>
              <w:t>Ver sempre se refere a algo visual. Mas pode ser usado para rotular toda e qualquer experiência visual que venha a surgir, ou apenas um tipo muito específico de experiência visual que você esteja explorando no momento. O mesmo vale para Ouvir e Sentir.</w:t>
            </w:r>
          </w:p>
        </w:tc>
        <w:tc>
          <w:tcPr>
            <w:tcW w:type="dxa" w:w="7353"/>
          </w:tcPr>
          <w:p>
            <w:r>
              <w:rPr>
                <w:color w:val="555555"/>
              </w:rPr>
              <w:t>See always refers to something visual. But it could be used to label any and all visual experience that may come up or just one very specific type of visual experience that you’re currently exploring. Likewise for Hear and Feel.</w:t>
            </w:r>
          </w:p>
        </w:tc>
      </w:tr>
      <w:tr>
        <w:tc>
          <w:tcPr>
            <w:tcW w:type="dxa" w:w="7353"/>
          </w:tcPr>
          <w:p>
            <w:r>
              <w:t>Assim, por exemplo, se o seu alcance de foco estivesse restrito à sensação do respirar (e supondo que você sequer quisesse usar rótulos), você apenas pensaria “Sentir” cada vez que entrasse em contato com a respiração. Se você estivesse fazendo um escaneamento corporal (e, mais uma vez, supondo que você sequer quisesse usar rótulos), você apenas pensaria ou diria “Sentir”, “Sentir” à medida que movesse a consciência para cima e para baixo pelo seu corpo.</w:t>
            </w:r>
          </w:p>
        </w:tc>
        <w:tc>
          <w:tcPr>
            <w:tcW w:type="dxa" w:w="7353"/>
          </w:tcPr>
          <w:p>
            <w:r>
              <w:rPr>
                <w:color w:val="555555"/>
              </w:rPr>
              <w:t>So, for example, if your focus range were restricted to breath sensation (and assuming that you even wanted to use labels), you would just think “Feel” each time you contacted the breath. If you were doing a body scan (and once again assuming you even wanted to use labels), you would just think or say “Feel,” “Feel” as you moved awareness up and down your body.</w:t>
            </w:r>
          </w:p>
        </w:tc>
      </w:tr>
    </w:tbl>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Com a rotulação flexível, há apenas um conceito a dominar. Qual é ele?</w:t>
            </w:r>
          </w:p>
        </w:tc>
        <w:tc>
          <w:tcPr>
            <w:tcW w:type="dxa" w:w="7353"/>
          </w:tcPr>
          <w:p>
            <w:r>
              <w:rPr>
                <w:color w:val="555555"/>
              </w:rPr>
              <w:t>1. With flexible labeling, there’s just one concept to master. What is it?</w:t>
            </w:r>
          </w:p>
        </w:tc>
      </w:tr>
      <w:tr>
        <w:tc>
          <w:tcPr>
            <w:tcW w:type="dxa" w:w="7353"/>
          </w:tcPr>
          <w:p>
            <w:r>
              <w:t>2. Se você estivesse tendo foco na respiração e quisesse usar um rótulo padrão do Mindfulness Unificado, que palavra seria essa?</w:t>
            </w:r>
          </w:p>
        </w:tc>
        <w:tc>
          <w:tcPr>
            <w:tcW w:type="dxa" w:w="7353"/>
          </w:tcPr>
          <w:p>
            <w:r>
              <w:rPr>
                <w:color w:val="555555"/>
              </w:rPr>
              <w:t>2. If you were doing breath focus and you wanted to use a standard Unified Mindfulness label, what word would that be?</w:t>
            </w:r>
          </w:p>
        </w:tc>
      </w:tr>
      <w:tr>
        <w:tc>
          <w:tcPr>
            <w:tcW w:type="dxa" w:w="7353"/>
          </w:tcPr>
          <w:p>
            <w:r>
              <w:t>3. Suponha que o seu alcance de foco seja irrestrito. Quais são algumas das coisas básicas que poderiam ser rotuladas como “ver”?</w:t>
            </w:r>
          </w:p>
        </w:tc>
        <w:tc>
          <w:tcPr>
            <w:tcW w:type="dxa" w:w="7353"/>
          </w:tcPr>
          <w:p>
            <w:r>
              <w:rPr>
                <w:color w:val="555555"/>
              </w:rPr>
              <w:t>3. Assume your focus range is unrestricted. What are some of the basic things that might be labeled “see”?</w:t>
            </w:r>
          </w:p>
        </w:tc>
      </w:tr>
      <w:tr>
        <w:tc>
          <w:tcPr>
            <w:tcW w:type="dxa" w:w="7353"/>
          </w:tcPr>
          <w:p>
            <w:r>
              <w:t>4. Se o seu alcance de foco estivesse restrito à “atividade interna” (isto é, pensamentos e emoções), como você rotularia a fala mental?</w:t>
            </w:r>
          </w:p>
        </w:tc>
        <w:tc>
          <w:tcPr>
            <w:tcW w:type="dxa" w:w="7353"/>
          </w:tcPr>
          <w:p>
            <w:r>
              <w:rPr>
                <w:color w:val="555555"/>
              </w:rPr>
              <w:t>4. If your focus range were restricted to “inner activity” (i.e., thoughts and emotions), how would you label mental talk?</w:t>
            </w:r>
          </w:p>
        </w:tc>
      </w:tr>
      <w:tr>
        <w:tc>
          <w:tcPr>
            <w:tcW w:type="dxa" w:w="7353"/>
          </w:tcPr>
          <w:p>
            <w:r>
              <w:t>5. Se o seu alcance de foco estivesse restrito aos estados de repouso, que rótulo você usaria para o relaxamento físico?</w:t>
            </w:r>
          </w:p>
        </w:tc>
        <w:tc>
          <w:tcPr>
            <w:tcW w:type="dxa" w:w="7353"/>
          </w:tcPr>
          <w:p>
            <w:r>
              <w:rPr>
                <w:color w:val="555555"/>
              </w:rPr>
              <w:t>5. If your focus range were restricted to restful states, what label would you use for physical relaxation?</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O significado do rótulo depende do alcance de foco.</w:t>
            </w:r>
          </w:p>
        </w:tc>
        <w:tc>
          <w:tcPr>
            <w:tcW w:type="dxa" w:w="7353"/>
          </w:tcPr>
          <w:p>
            <w:r>
              <w:rPr>
                <w:color w:val="555555"/>
              </w:rPr>
              <w:t>1. The meaning of the label depends on your focus range.</w:t>
            </w:r>
          </w:p>
        </w:tc>
      </w:tr>
      <w:tr>
        <w:tc>
          <w:tcPr>
            <w:tcW w:type="dxa" w:w="7353"/>
          </w:tcPr>
          <w:p>
            <w:r>
              <w:t>2. “Sentir”.</w:t>
            </w:r>
          </w:p>
        </w:tc>
        <w:tc>
          <w:tcPr>
            <w:tcW w:type="dxa" w:w="7353"/>
          </w:tcPr>
          <w:p>
            <w:r>
              <w:rPr>
                <w:color w:val="555555"/>
              </w:rPr>
              <w:t>2. “Feel.”</w:t>
            </w:r>
          </w:p>
        </w:tc>
      </w:tr>
      <w:tr>
        <w:tc>
          <w:tcPr>
            <w:tcW w:type="dxa" w:w="7353"/>
          </w:tcPr>
          <w:p>
            <w:r>
              <w:t>3.</w:t>
            </w:r>
          </w:p>
        </w:tc>
        <w:tc>
          <w:tcPr>
            <w:tcW w:type="dxa" w:w="7353"/>
          </w:tcPr>
          <w:p>
            <w:r>
              <w:rPr>
                <w:color w:val="555555"/>
              </w:rPr>
              <w:t>3.</w:t>
            </w:r>
          </w:p>
        </w:tc>
      </w:tr>
      <w:tr>
        <w:tc>
          <w:tcPr>
            <w:tcW w:type="dxa" w:w="7353"/>
          </w:tcPr>
          <w:p>
            <w:r>
              <w:t>• Imagem física.</w:t>
            </w:r>
          </w:p>
        </w:tc>
        <w:tc>
          <w:tcPr>
            <w:tcW w:type="dxa" w:w="7353"/>
          </w:tcPr>
          <w:p>
            <w:r>
              <w:rPr>
                <w:color w:val="555555"/>
              </w:rPr>
              <w:t>• Physical sight.</w:t>
            </w:r>
          </w:p>
        </w:tc>
      </w:tr>
      <w:tr>
        <w:tc>
          <w:tcPr>
            <w:tcW w:type="dxa" w:w="7353"/>
          </w:tcPr>
          <w:p>
            <w:r>
              <w:t>• Imagem mental.</w:t>
            </w:r>
          </w:p>
        </w:tc>
        <w:tc>
          <w:tcPr>
            <w:tcW w:type="dxa" w:w="7353"/>
          </w:tcPr>
          <w:p>
            <w:r>
              <w:rPr>
                <w:color w:val="555555"/>
              </w:rPr>
              <w:t>• Mental image.</w:t>
            </w:r>
          </w:p>
        </w:tc>
      </w:tr>
      <w:tr>
        <w:tc>
          <w:tcPr>
            <w:tcW w:type="dxa" w:w="7353"/>
          </w:tcPr>
          <w:p>
            <w:r>
              <w:t>• Estados de repouso visual.</w:t>
            </w:r>
          </w:p>
        </w:tc>
        <w:tc>
          <w:tcPr>
            <w:tcW w:type="dxa" w:w="7353"/>
          </w:tcPr>
          <w:p>
            <w:r>
              <w:rPr>
                <w:color w:val="555555"/>
              </w:rPr>
              <w:t>• Visual rest states.</w:t>
            </w:r>
          </w:p>
        </w:tc>
      </w:tr>
      <w:tr>
        <w:tc>
          <w:tcPr>
            <w:tcW w:type="dxa" w:w="7353"/>
          </w:tcPr>
          <w:p>
            <w:r>
              <w:t>• Estados de flow visual.</w:t>
            </w:r>
          </w:p>
        </w:tc>
        <w:tc>
          <w:tcPr>
            <w:tcW w:type="dxa" w:w="7353"/>
          </w:tcPr>
          <w:p>
            <w:r>
              <w:rPr>
                <w:color w:val="555555"/>
              </w:rPr>
              <w:t>• Visual flow states.</w:t>
            </w:r>
          </w:p>
        </w:tc>
      </w:tr>
      <w:tr>
        <w:tc>
          <w:tcPr>
            <w:tcW w:type="dxa" w:w="7353"/>
          </w:tcPr>
          <w:p>
            <w:r>
              <w:t>• Espaçosidade visual.</w:t>
            </w:r>
          </w:p>
        </w:tc>
        <w:tc>
          <w:tcPr>
            <w:tcW w:type="dxa" w:w="7353"/>
          </w:tcPr>
          <w:p>
            <w:r>
              <w:rPr>
                <w:color w:val="555555"/>
              </w:rPr>
              <w:t>• Visual spaciousness.</w:t>
            </w:r>
          </w:p>
        </w:tc>
      </w:tr>
      <w:tr>
        <w:tc>
          <w:tcPr>
            <w:tcW w:type="dxa" w:w="7353"/>
          </w:tcPr>
          <w:p>
            <w:r>
              <w:t>4. “Ouvir”.</w:t>
            </w:r>
          </w:p>
        </w:tc>
        <w:tc>
          <w:tcPr>
            <w:tcW w:type="dxa" w:w="7353"/>
          </w:tcPr>
          <w:p>
            <w:r>
              <w:rPr>
                <w:color w:val="555555"/>
              </w:rPr>
              <w:t>4. “Hear.”</w:t>
            </w:r>
          </w:p>
        </w:tc>
      </w:tr>
      <w:tr>
        <w:tc>
          <w:tcPr>
            <w:tcW w:type="dxa" w:w="7353"/>
          </w:tcPr>
          <w:p>
            <w:r>
              <w:t>5. “Sentir”.</w:t>
            </w:r>
          </w:p>
        </w:tc>
        <w:tc>
          <w:tcPr>
            <w:tcW w:type="dxa" w:w="7353"/>
          </w:tcPr>
          <w:p>
            <w:r>
              <w:rPr>
                <w:color w:val="555555"/>
              </w:rPr>
              <w:t>5. “Feel.”</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