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 Rótulos Não São Necessários</w:t>
      </w:r>
    </w:p>
    <w:p>
      <w:pPr/>
      <w:r>
        <w:rPr>
          <w:color w:val="555555"/>
        </w:rPr>
        <w:t>Labels Are Not Necessary</w:t>
      </w:r>
    </w:p>
    <w:tbl>
      <w:tblPr>
        <w:tblW w:type="auto" w:w="0"/>
        <w:tblLayout w:type="fixed"/>
        <w:tblLook w:firstColumn="1" w:firstRow="1" w:lastColumn="0" w:lastRow="0" w:noHBand="0" w:noVBand="1" w:val="04A0"/>
      </w:tblPr>
      <w:tblGrid>
        <w:gridCol w:w="7353"/>
        <w:gridCol w:w="7353"/>
      </w:tblGrid>
      <w:tr>
        <w:tc>
          <w:tcPr>
            <w:tcW w:type="dxa" w:w="7353"/>
          </w:tcPr>
          <w:p>
            <w:r>
              <w:t>Como você deve se lembrar, o notar (tipicamente) envolve uma sequência: reconhecer, focar, reconhecer, focar, reconhecer, focar… Os rótulos ajudam você a manter o ritmo dessa sequência. Se você consegue mantê-lo sem rótulos, então sinta-se à vontade para dispensá-los e notar com consciência direta. Mas lembre-se: dispensar os rótulos não é sinônimo de dispensar o notar.</w:t>
            </w:r>
          </w:p>
        </w:tc>
        <w:tc>
          <w:tcPr>
            <w:tcW w:type="dxa" w:w="7353"/>
          </w:tcPr>
          <w:p>
            <w:r>
              <w:rPr>
                <w:color w:val="555555"/>
              </w:rPr>
              <w:t>As you’ll recall, noting (typically) involves a sequence: acknowledge, focus, acknowledge, focus, acknowledge, focus.... Labels help you maintain the pace of that sequence. If you can maintain it without labels then feel free to drop them and note with direct awareness. But remember: dropping labels is not synonymous with dropping the noting.</w:t>
            </w:r>
          </w:p>
        </w:tc>
      </w:tr>
      <w:tr>
        <w:tc>
          <w:tcPr>
            <w:tcW w:type="dxa" w:w="7353"/>
          </w:tcPr>
          <w:p>
            <w:r>
              <w:t>Com frequência, as pessoas relatam que rotular as coisas atrapalha a experiência delas.</w:t>
            </w:r>
          </w:p>
        </w:tc>
        <w:tc>
          <w:tcPr>
            <w:tcW w:type="dxa" w:w="7353"/>
          </w:tcPr>
          <w:p>
            <w:r>
              <w:rPr>
                <w:color w:val="555555"/>
              </w:rPr>
              <w:t>Often people report that labeling things gets in the way of experiencing them.</w:t>
            </w:r>
          </w:p>
        </w:tc>
      </w:tr>
      <w:tr>
        <w:tc>
          <w:tcPr>
            <w:tcW w:type="dxa" w:w="7353"/>
          </w:tcPr>
          <w:p>
            <w:r>
              <w:t>• Isso agita – mexe com pensamentos, confusões, decisões, reações.</w:t>
            </w:r>
          </w:p>
        </w:tc>
        <w:tc>
          <w:tcPr>
            <w:tcW w:type="dxa" w:w="7353"/>
          </w:tcPr>
          <w:p>
            <w:r>
              <w:rPr>
                <w:color w:val="555555"/>
              </w:rPr>
              <w:t>• It agitates – stirs up thoughts, confusions, decisions, reactions.</w:t>
            </w:r>
          </w:p>
        </w:tc>
      </w:tr>
      <w:tr>
        <w:tc>
          <w:tcPr>
            <w:tcW w:type="dxa" w:w="7353"/>
          </w:tcPr>
          <w:p>
            <w:r>
              <w:t>• Isso reifica</w:t>
            </w:r>
            <w:r>
              <w:rPr>
                <w:rStyle w:val="FootnoteReference"/>
                <w:vertAlign w:val="superscript"/>
              </w:rPr>
              <w:footnoteReference w:id="1"/>
            </w:r>
            <w:r>
              <w:t xml:space="preserve"> – transforma o que está sendo rotulado em uma coisa objetificada.</w:t>
            </w:r>
          </w:p>
        </w:tc>
        <w:tc>
          <w:tcPr>
            <w:tcW w:type="dxa" w:w="7353"/>
          </w:tcPr>
          <w:p>
            <w:r>
              <w:rPr>
                <w:color w:val="555555"/>
              </w:rPr>
              <w:t>• It reifies – makes what’s being labeled into an objectified thing.</w:t>
            </w:r>
          </w:p>
        </w:tc>
      </w:tr>
      <w:tr>
        <w:tc>
          <w:tcPr>
            <w:tcW w:type="dxa" w:w="7353"/>
          </w:tcPr>
          <w:p>
            <w:r>
              <w:t>• Isso cria associações mentais.</w:t>
            </w:r>
          </w:p>
        </w:tc>
        <w:tc>
          <w:tcPr>
            <w:tcW w:type="dxa" w:w="7353"/>
          </w:tcPr>
          <w:p>
            <w:r>
              <w:rPr>
                <w:color w:val="555555"/>
              </w:rPr>
              <w:t>• It creates mental associations.</w:t>
            </w:r>
          </w:p>
        </w:tc>
      </w:tr>
      <w:tr>
        <w:tc>
          <w:tcPr>
            <w:tcW w:type="dxa" w:w="7353"/>
          </w:tcPr>
          <w:p>
            <w:r>
              <w:t>• Isso cria ansiedade de desempenho.</w:t>
            </w:r>
          </w:p>
        </w:tc>
        <w:tc>
          <w:tcPr>
            <w:tcW w:type="dxa" w:w="7353"/>
          </w:tcPr>
          <w:p>
            <w:r>
              <w:rPr>
                <w:color w:val="555555"/>
              </w:rPr>
              <w:t>• It creates performance anxiety.</w:t>
            </w:r>
          </w:p>
        </w:tc>
      </w:tr>
      <w:tr>
        <w:tc>
          <w:tcPr>
            <w:tcW w:type="dxa" w:w="7353"/>
          </w:tcPr>
          <w:p>
            <w:r>
              <w:t>• Isso exige esforço.</w:t>
            </w:r>
          </w:p>
        </w:tc>
        <w:tc>
          <w:tcPr>
            <w:tcW w:type="dxa" w:w="7353"/>
          </w:tcPr>
          <w:p>
            <w:r>
              <w:rPr>
                <w:color w:val="555555"/>
              </w:rPr>
              <w:t>• It requires effort.</w:t>
            </w:r>
          </w:p>
        </w:tc>
      </w:tr>
      <w:tr>
        <w:tc>
          <w:tcPr>
            <w:tcW w:type="dxa" w:w="7353"/>
          </w:tcPr>
          <w:p>
            <w:r>
              <w:t>• Isso cria distância entre observador e observado.</w:t>
            </w:r>
          </w:p>
        </w:tc>
        <w:tc>
          <w:tcPr>
            <w:tcW w:type="dxa" w:w="7353"/>
          </w:tcPr>
          <w:p>
            <w:r>
              <w:rPr>
                <w:color w:val="555555"/>
              </w:rPr>
              <w:t>• It creates distance between observer and observed.</w:t>
            </w:r>
          </w:p>
        </w:tc>
      </w:tr>
      <w:tr>
        <w:tc>
          <w:tcPr>
            <w:tcW w:type="dxa" w:w="7353"/>
          </w:tcPr>
          <w:p>
            <w:r>
              <w:t>• Isso interfere na coisa que está sendo observada.</w:t>
            </w:r>
          </w:p>
        </w:tc>
        <w:tc>
          <w:tcPr>
            <w:tcW w:type="dxa" w:w="7353"/>
          </w:tcPr>
          <w:p>
            <w:r>
              <w:rPr>
                <w:color w:val="555555"/>
              </w:rPr>
              <w:t>• It interferes with the thing being observed.</w:t>
            </w:r>
          </w:p>
        </w:tc>
      </w:tr>
      <w:tr>
        <w:tc>
          <w:tcPr>
            <w:tcW w:type="dxa" w:w="7353"/>
          </w:tcPr>
          <w:p>
            <w:r>
              <w:t>Quanto a essas questões, há apenas dois conceitos a dominar – a solução rápida e a solução profunda. A solução rápida é simples. Dispense os rótulos! A solução profunda exige persistência.</w:t>
            </w:r>
          </w:p>
        </w:tc>
        <w:tc>
          <w:tcPr>
            <w:tcW w:type="dxa" w:w="7353"/>
          </w:tcPr>
          <w:p>
            <w:r>
              <w:rPr>
                <w:color w:val="555555"/>
              </w:rPr>
              <w:t>Regarding such issues there are just two concepts to master – the quick fix and the deep fix. The quick fix is simple. Drop the labels! The deep fix requires persistence.</w:t>
            </w:r>
          </w:p>
        </w:tc>
      </w:tr>
      <w:tr>
        <w:tc>
          <w:tcPr>
            <w:tcW w:type="dxa" w:w="7353"/>
          </w:tcPr>
          <w:p>
            <w:r>
              <w:t>Quando fui apresentado à rotulação pela primeira vez, eu a detestei, porque vivenciei a maioria dos fenômenos listados acima. Mas, depois de alguns meses, vi por mim mesmo que esses fenômenos acabam desaparecendo. Hoje, consigo rotular mentalmente qualquer fenômeno sensorial com precisão, rapidez e eficiência, sem que isso desperte sequer um traço de agitação ou separação. Então, se você prefere não rotular, tudo bem; mas saiba também que os problemas mencionados acima tendem a se resolver sozinhos com o tempo. É como aprender a dirigir. No começo, é trabalhoso e agitante, mas, em algum momento, torna-se fácil e automático.</w:t>
            </w:r>
          </w:p>
        </w:tc>
        <w:tc>
          <w:tcPr>
            <w:tcW w:type="dxa" w:w="7353"/>
          </w:tcPr>
          <w:p>
            <w:r>
              <w:rPr>
                <w:color w:val="555555"/>
              </w:rPr>
              <w:t>When I was first introduced to labeling I hated it because I experienced most of the phenomena listed above. But after a few months I saw for myself that those phenomena eventually disappear. Now I can precisely and rapidly and efficiently mentally label any sensory phenomenon without it stirring up even a hint of agitation or separation. So if you prefer not to label, that’s fine, but know also that the above mentioned problems tend to take care of themselves with time. It’s like learning to drive. When you first start, it’s effortful and agitating but at some point it becomes easy and automatic.</w:t>
            </w:r>
          </w:p>
        </w:tc>
      </w:tr>
      <w:tr>
        <w:tc>
          <w:tcPr>
            <w:tcW w:type="dxa" w:w="7353"/>
          </w:tcPr>
          <w:p>
            <w:r>
              <w:t>Você também pode se ver inclinado não apenas a dispensar a rotulação intencional, mas também a dispensar o notar intencional. Isso pode ser um sinal de que é hora de fazer a transição da técnica Ver Ouvir Sentir para a técnica Não Fazer Nada (ou pode ser apenas um sinal de que você está vacilando ☺).</w:t>
            </w:r>
          </w:p>
        </w:tc>
        <w:tc>
          <w:tcPr>
            <w:tcW w:type="dxa" w:w="7353"/>
          </w:tcPr>
          <w:p>
            <w:r>
              <w:rPr>
                <w:color w:val="555555"/>
              </w:rPr>
              <w:t>You may be also find yourself inclined not merely to drop intentional labeling, but also to drop intentional noting. This may be a sign that it’s time to transition from the See Hear Feel technique to the Do Nothing technique (or it may just be a sign that you’re getting sloppy ☺).</w:t>
            </w:r>
          </w:p>
        </w:tc>
      </w:tr>
      <w:tr>
        <w:tc>
          <w:tcPr>
            <w:tcW w:type="dxa" w:w="7353"/>
          </w:tcPr>
          <w:p>
            <w:r>
              <w:t>(Ver Ouvir Sentir, Não Fazer Nada e Nutrir o Positivo são algumas das técnicas padrão do Mindfulness Unificado. Algumas pessoas aprendem apenas uma técnica, outras aprendem mais de uma. Se você conhece mais de uma, pode alternar entre elas da maneira que quiser. Algumas pessoas gostam de trabalhar em ciclo: por exemplo, praticando Ver Ouvir Sentir, depois passando para Não Fazer Nada, e em seguida passando para Nutrir o Positivo, talvez repetindo o ciclo. Esses três passos correspondem, a grosso modo, às Três Tarefas de um Ser Humano: apreciar o eu e o mundo, ir além do eu e do mundo, e melhorar o eu e o mundo.)</w:t>
            </w:r>
          </w:p>
        </w:tc>
        <w:tc>
          <w:tcPr>
            <w:tcW w:type="dxa" w:w="7353"/>
          </w:tcPr>
          <w:p>
            <w:r>
              <w:rPr>
                <w:color w:val="555555"/>
              </w:rPr>
              <w:t>(See Hear Feel, Do Nothing, and Nurture Positive are some of the standard techniques in Unified Mindfulness. Some people learn just one technique, some people learn more than one. If you know more than one you can switch back and forth in any way you want. Some people like to work in a cycle, for example, doing See Hear Feel, then shifting to Do Nothing, and then after that shifting to Nurture Positive, then perhaps repeating the cycle. Those three steps roughly correspond to the Three Jobs of a Human Being: appreciate self and world, go beyond self and world, and improve self and world.)</w:t>
            </w:r>
          </w:p>
        </w:tc>
      </w:tr>
    </w:tbl>
    <w:p>
      <w:pPr>
        <w:pStyle w:val="Heading1"/>
      </w:pPr>
      <w:r>
        <w:t>Quiz</w:t>
      </w:r>
    </w:p>
    <w:p>
      <w:pPr/>
      <w:r>
        <w:rPr>
          <w:color w:val="555555"/>
        </w:rPr>
        <w:t>Quiz</w:t>
      </w:r>
    </w:p>
    <w:tbl>
      <w:tblPr>
        <w:tblW w:type="auto" w:w="0"/>
        <w:tblLayout w:type="fixed"/>
        <w:tblLook w:firstColumn="1" w:firstRow="1" w:lastColumn="0" w:lastRow="0" w:noHBand="0" w:noVBand="1" w:val="04A0"/>
      </w:tblPr>
      <w:tblGrid>
        <w:gridCol w:w="7353"/>
        <w:gridCol w:w="7353"/>
      </w:tblGrid>
      <w:tr>
        <w:tc>
          <w:tcPr>
            <w:tcW w:type="dxa" w:w="7353"/>
          </w:tcPr>
          <w:p>
            <w:r>
              <w:t>1. Cite ao menos três objeções comuns ao processo de rotulação.</w:t>
            </w:r>
          </w:p>
        </w:tc>
        <w:tc>
          <w:tcPr>
            <w:tcW w:type="dxa" w:w="7353"/>
          </w:tcPr>
          <w:p>
            <w:r>
              <w:rPr>
                <w:color w:val="555555"/>
              </w:rPr>
              <w:t>1. Name at least three common objections to the labeling process.</w:t>
            </w:r>
          </w:p>
        </w:tc>
      </w:tr>
      <w:tr>
        <w:tc>
          <w:tcPr>
            <w:tcW w:type="dxa" w:w="7353"/>
          </w:tcPr>
          <w:p>
            <w:r>
              <w:t>2. Há duas maneiras de lidar com essas questões. Quais são elas?</w:t>
            </w:r>
          </w:p>
        </w:tc>
        <w:tc>
          <w:tcPr>
            <w:tcW w:type="dxa" w:w="7353"/>
          </w:tcPr>
          <w:p>
            <w:r>
              <w:rPr>
                <w:color w:val="555555"/>
              </w:rPr>
              <w:t>2. There are two ways to deal with such issues. What are they?</w:t>
            </w:r>
          </w:p>
        </w:tc>
      </w:tr>
      <w:tr>
        <w:tc>
          <w:tcPr>
            <w:tcW w:type="dxa" w:w="7353"/>
          </w:tcPr>
          <w:p>
            <w:r>
              <w:t>3. Dentro do sistema do Mindfulness Unificado, pode haver momentos em que seja apropriado dispensar o próprio notar (isto é, passar de Ver Ouvir Sentir para alguma outra técnica)?</w:t>
            </w:r>
          </w:p>
        </w:tc>
        <w:tc>
          <w:tcPr>
            <w:tcW w:type="dxa" w:w="7353"/>
          </w:tcPr>
          <w:p>
            <w:r>
              <w:rPr>
                <w:color w:val="555555"/>
              </w:rPr>
              <w:t>3. Within the Unified Mindfulness system, might there be times when it’s appropriate to drop noting itself (i.e., to shift from See Hear Feel to some other technique)?</w:t>
            </w:r>
          </w:p>
        </w:tc>
      </w:tr>
    </w:tbl>
    <w:p>
      <w:pPr>
        <w:pStyle w:val="Heading1"/>
      </w:pPr>
      <w:r>
        <w:t>Respostas do Quiz</w:t>
      </w:r>
    </w:p>
    <w:p>
      <w:pPr/>
      <w:r>
        <w:rPr>
          <w:color w:val="555555"/>
        </w:rPr>
        <w:t>Answers to Quiz</w:t>
      </w:r>
    </w:p>
    <w:tbl>
      <w:tblPr>
        <w:tblW w:type="auto" w:w="0"/>
        <w:tblLayout w:type="fixed"/>
        <w:tblLook w:firstColumn="1" w:firstRow="1" w:lastColumn="0" w:lastRow="0" w:noHBand="0" w:noVBand="1" w:val="04A0"/>
      </w:tblPr>
      <w:tblGrid>
        <w:gridCol w:w="7353"/>
        <w:gridCol w:w="7353"/>
      </w:tblGrid>
      <w:tr>
        <w:tc>
          <w:tcPr>
            <w:tcW w:type="dxa" w:w="7353"/>
          </w:tcPr>
          <w:p>
            <w:r>
              <w:t>1. Qualquer uma das seguintes:</w:t>
            </w:r>
          </w:p>
        </w:tc>
        <w:tc>
          <w:tcPr>
            <w:tcW w:type="dxa" w:w="7353"/>
          </w:tcPr>
          <w:p>
            <w:r>
              <w:rPr>
                <w:color w:val="555555"/>
              </w:rPr>
              <w:t>1. Any of the following:</w:t>
            </w:r>
          </w:p>
        </w:tc>
      </w:tr>
      <w:tr>
        <w:tc>
          <w:tcPr>
            <w:tcW w:type="dxa" w:w="7353"/>
          </w:tcPr>
          <w:p>
            <w:r>
              <w:t>• Isso agita – mexe com pensamentos, confusões, decisões, reações.</w:t>
            </w:r>
          </w:p>
        </w:tc>
        <w:tc>
          <w:tcPr>
            <w:tcW w:type="dxa" w:w="7353"/>
          </w:tcPr>
          <w:p>
            <w:r>
              <w:rPr>
                <w:color w:val="555555"/>
              </w:rPr>
              <w:t>• It agitates – stirs up thoughts, confusions, decisions, reactions.</w:t>
            </w:r>
          </w:p>
        </w:tc>
      </w:tr>
      <w:tr>
        <w:tc>
          <w:tcPr>
            <w:tcW w:type="dxa" w:w="7353"/>
          </w:tcPr>
          <w:p>
            <w:r>
              <w:t>• Isso reifica – transforma o que está sendo rotulado em uma coisa objetificada.</w:t>
            </w:r>
          </w:p>
        </w:tc>
        <w:tc>
          <w:tcPr>
            <w:tcW w:type="dxa" w:w="7353"/>
          </w:tcPr>
          <w:p>
            <w:r>
              <w:rPr>
                <w:color w:val="555555"/>
              </w:rPr>
              <w:t>• It reifies – makes what’s being labeled into an objectified thing.</w:t>
            </w:r>
          </w:p>
        </w:tc>
      </w:tr>
      <w:tr>
        <w:tc>
          <w:tcPr>
            <w:tcW w:type="dxa" w:w="7353"/>
          </w:tcPr>
          <w:p>
            <w:r>
              <w:t>• Isso cria associações mentais.</w:t>
            </w:r>
          </w:p>
        </w:tc>
        <w:tc>
          <w:tcPr>
            <w:tcW w:type="dxa" w:w="7353"/>
          </w:tcPr>
          <w:p>
            <w:r>
              <w:rPr>
                <w:color w:val="555555"/>
              </w:rPr>
              <w:t>• It creates mental associations.</w:t>
            </w:r>
          </w:p>
        </w:tc>
      </w:tr>
      <w:tr>
        <w:tc>
          <w:tcPr>
            <w:tcW w:type="dxa" w:w="7353"/>
          </w:tcPr>
          <w:p>
            <w:r>
              <w:t>• Isso cria ansiedade de desempenho.</w:t>
            </w:r>
          </w:p>
        </w:tc>
        <w:tc>
          <w:tcPr>
            <w:tcW w:type="dxa" w:w="7353"/>
          </w:tcPr>
          <w:p>
            <w:r>
              <w:rPr>
                <w:color w:val="555555"/>
              </w:rPr>
              <w:t>• It creates performance anxiety.</w:t>
            </w:r>
          </w:p>
        </w:tc>
      </w:tr>
      <w:tr>
        <w:tc>
          <w:tcPr>
            <w:tcW w:type="dxa" w:w="7353"/>
          </w:tcPr>
          <w:p>
            <w:r>
              <w:t>• Isso exige esforço.</w:t>
            </w:r>
          </w:p>
        </w:tc>
        <w:tc>
          <w:tcPr>
            <w:tcW w:type="dxa" w:w="7353"/>
          </w:tcPr>
          <w:p>
            <w:r>
              <w:rPr>
                <w:color w:val="555555"/>
              </w:rPr>
              <w:t>• It requires effort.</w:t>
            </w:r>
          </w:p>
        </w:tc>
      </w:tr>
      <w:tr>
        <w:tc>
          <w:tcPr>
            <w:tcW w:type="dxa" w:w="7353"/>
          </w:tcPr>
          <w:p>
            <w:r>
              <w:t>• Isso cria distância entre observador e observado.</w:t>
            </w:r>
          </w:p>
        </w:tc>
        <w:tc>
          <w:tcPr>
            <w:tcW w:type="dxa" w:w="7353"/>
          </w:tcPr>
          <w:p>
            <w:r>
              <w:rPr>
                <w:color w:val="555555"/>
              </w:rPr>
              <w:t>• It creates distance between observer and observed.</w:t>
            </w:r>
          </w:p>
        </w:tc>
      </w:tr>
      <w:tr>
        <w:tc>
          <w:tcPr>
            <w:tcW w:type="dxa" w:w="7353"/>
          </w:tcPr>
          <w:p>
            <w:r>
              <w:t>• Isso interfere na coisa que está sendo observada.</w:t>
            </w:r>
          </w:p>
        </w:tc>
        <w:tc>
          <w:tcPr>
            <w:tcW w:type="dxa" w:w="7353"/>
          </w:tcPr>
          <w:p>
            <w:r>
              <w:rPr>
                <w:color w:val="555555"/>
              </w:rPr>
              <w:t>• It interferes with the thing being observed.</w:t>
            </w:r>
          </w:p>
        </w:tc>
      </w:tr>
      <w:tr>
        <w:tc>
          <w:tcPr>
            <w:tcW w:type="dxa" w:w="7353"/>
          </w:tcPr>
          <w:p>
            <w:r>
              <w:t>2. A solução rápida é decidir não rotular; a solução profunda é ter paciência e deixar que as questões acima se resolvam sozinhas à medida que a rotulação se torna mais automática e sem esforço.</w:t>
            </w:r>
          </w:p>
        </w:tc>
        <w:tc>
          <w:tcPr>
            <w:tcW w:type="dxa" w:w="7353"/>
          </w:tcPr>
          <w:p>
            <w:r>
              <w:rPr>
                <w:color w:val="555555"/>
              </w:rPr>
              <w:t>2. The quick fix is to decide not to label; the deep fix is to have patience and let the above issues take care of themselves as the labeling becomes more automatic and effortless.</w:t>
            </w:r>
          </w:p>
        </w:tc>
      </w:tr>
      <w:tr>
        <w:tc>
          <w:tcPr>
            <w:tcW w:type="dxa" w:w="7353"/>
          </w:tcPr>
          <w:p>
            <w:r>
              <w:t>3. Sim. Você pode querer passar para Não Fazer Nada ou Nutrir o Positivo, caso esteja familiarizado com essas técnicas.</w:t>
            </w:r>
          </w:p>
        </w:tc>
        <w:tc>
          <w:tcPr>
            <w:tcW w:type="dxa" w:w="7353"/>
          </w:tcPr>
          <w:p>
            <w:r>
              <w:rPr>
                <w:color w:val="555555"/>
              </w:rPr>
              <w:t>3. Yes. You might want to shift to Do Nothing or Nurture Positive if you happen to be familiar with those techniques.</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vertAlign w:val="superscript"/>
        </w:rPr>
        <w:footnoteRef/>
      </w:r>
      <w:r>
        <w:rPr>
          <w:sz w:val="18"/>
        </w:rPr>
        <w:t xml:space="preserve"> [N.T.] Reificar (do latim res, “coisa”) é transformar um processo em coisa — tratar algo vivo e passageiro, como a experiência, como se fosse um objeto sólido e fixo.</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