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Os Quatro OKs</w:t>
      </w:r>
    </w:p>
    <w:p>
      <w:pPr/>
      <w:r>
        <w:rPr>
          <w:color w:val="555555"/>
        </w:rPr>
        <w:t>The Four Okays</w:t>
      </w:r>
    </w:p>
    <w:tbl>
      <w:tblPr>
        <w:tblW w:type="auto" w:w="0"/>
        <w:tblLayout w:type="fixed"/>
        <w:tblLook w:firstColumn="1" w:firstRow="1" w:lastColumn="0" w:lastRow="0" w:noHBand="0" w:noVBand="1" w:val="04A0"/>
      </w:tblPr>
      <w:tblGrid>
        <w:gridCol w:w="7353"/>
        <w:gridCol w:w="7353"/>
      </w:tblGrid>
      <w:tr>
        <w:tc>
          <w:tcPr>
            <w:tcW w:type="dxa" w:w="7353"/>
          </w:tcPr>
          <w:p>
            <w:r>
              <w:t>Pode ser útil lembrar dos Quatro OKs do notar:</w:t>
            </w:r>
          </w:p>
        </w:tc>
        <w:tc>
          <w:tcPr>
            <w:tcW w:type="dxa" w:w="7353"/>
          </w:tcPr>
          <w:p>
            <w:r>
              <w:rPr>
                <w:color w:val="555555"/>
              </w:rPr>
              <w:t>It may be useful to remember The Four Okays of noting:</w:t>
            </w:r>
          </w:p>
        </w:tc>
      </w:tr>
      <w:tr>
        <w:tc>
          <w:tcPr>
            <w:tcW w:type="dxa" w:w="7353"/>
          </w:tcPr>
          <w:p>
            <w:r>
              <w:t>• OK deixar passar.</w:t>
            </w:r>
          </w:p>
        </w:tc>
        <w:tc>
          <w:tcPr>
            <w:tcW w:type="dxa" w:w="7353"/>
          </w:tcPr>
          <w:p>
            <w:r>
              <w:rPr>
                <w:color w:val="555555"/>
              </w:rPr>
              <w:t>• It’s okay to miss.</w:t>
            </w:r>
          </w:p>
        </w:tc>
      </w:tr>
      <w:tr>
        <w:tc>
          <w:tcPr>
            <w:tcW w:type="dxa" w:w="7353"/>
          </w:tcPr>
          <w:p>
            <w:r>
              <w:t>• OK chutar.</w:t>
            </w:r>
          </w:p>
        </w:tc>
        <w:tc>
          <w:tcPr>
            <w:tcW w:type="dxa" w:w="7353"/>
          </w:tcPr>
          <w:p>
            <w:r>
              <w:rPr>
                <w:color w:val="555555"/>
              </w:rPr>
              <w:t>• It’s okay to guess.</w:t>
            </w:r>
          </w:p>
        </w:tc>
      </w:tr>
      <w:tr>
        <w:tc>
          <w:tcPr>
            <w:tcW w:type="dxa" w:w="7353"/>
          </w:tcPr>
          <w:p>
            <w:r>
              <w:t>• OK atrasar um pouco.</w:t>
            </w:r>
          </w:p>
        </w:tc>
        <w:tc>
          <w:tcPr>
            <w:tcW w:type="dxa" w:w="7353"/>
          </w:tcPr>
          <w:p>
            <w:r>
              <w:rPr>
                <w:color w:val="555555"/>
              </w:rPr>
              <w:t>• It’s okay to be (a little) late.</w:t>
            </w:r>
          </w:p>
        </w:tc>
      </w:tr>
      <w:tr>
        <w:tc>
          <w:tcPr>
            <w:tcW w:type="dxa" w:w="7353"/>
          </w:tcPr>
          <w:p>
            <w:r>
              <w:t>• OK “tirar média”.</w:t>
            </w:r>
          </w:p>
        </w:tc>
        <w:tc>
          <w:tcPr>
            <w:tcW w:type="dxa" w:w="7353"/>
          </w:tcPr>
          <w:p>
            <w:r>
              <w:rPr>
                <w:color w:val="555555"/>
              </w:rPr>
              <w:t>• It’s okay to “average.”</w:t>
            </w:r>
          </w:p>
        </w:tc>
      </w:tr>
      <w:tr>
        <w:tc>
          <w:tcPr>
            <w:tcW w:type="dxa" w:w="7353"/>
          </w:tcPr>
          <w:p>
            <w:r>
              <w:t>Veja o que eles significam:</w:t>
            </w:r>
          </w:p>
        </w:tc>
        <w:tc>
          <w:tcPr>
            <w:tcW w:type="dxa" w:w="7353"/>
          </w:tcPr>
          <w:p>
            <w:r>
              <w:rPr>
                <w:color w:val="555555"/>
              </w:rPr>
              <w:t>Here’s what they mean:</w:t>
            </w:r>
          </w:p>
        </w:tc>
      </w:tr>
    </w:tbl>
    <w:p>
      <w:pPr>
        <w:pStyle w:val="Heading2"/>
      </w:pPr>
      <w:r>
        <w:t>OK deixar passar.</w:t>
      </w:r>
    </w:p>
    <w:p>
      <w:pPr/>
      <w:r>
        <w:rPr>
          <w:color w:val="555555"/>
        </w:rPr>
        <w:t>It’s okay to miss.</w:t>
      </w:r>
    </w:p>
    <w:tbl>
      <w:tblPr>
        <w:tblW w:type="auto" w:w="0"/>
        <w:tblLayout w:type="fixed"/>
        <w:tblLook w:firstColumn="1" w:firstRow="1" w:lastColumn="0" w:lastRow="0" w:noHBand="0" w:noVBand="1" w:val="04A0"/>
      </w:tblPr>
      <w:tblGrid>
        <w:gridCol w:w="7353"/>
        <w:gridCol w:w="7353"/>
      </w:tblGrid>
      <w:tr>
        <w:tc>
          <w:tcPr>
            <w:tcW w:type="dxa" w:w="7353"/>
          </w:tcPr>
          <w:p>
            <w:r>
              <w:t>Muitas vezes, muita coisa está acontecendo ao mesmo tempo. Você não é obrigado a tentar detectar cada evento sutil. Tudo o que se exige é que você tenha um breve momento de qualidade com qualquer evento que tenha escolhido como o seu alvo naquele momento. Se, enquanto você faz isso, outros eventos ocorrerem, tudo bem deixá-los passar sem notar. Por outro lado, lembre-se de que notar não é sinônimo de rotular. A velocidade máxima com que uma pessoa consegue rotular é, talvez, de um rótulo por segundo. Por outro lado, algumas pessoas conseguem notar muito mais rápido do que isso. Para essas pessoas, o notar se torna como um feixe de laser mecanizado que vaporiza a substancialidade de cada surgimento, por mais fugaz que seja. Se você por acaso for uma dessas pessoas, então vá em frente e use a sua habilidade; nada passará sem ser notado. Mas, se você for como a maioria das pessoas, provavelmente vai deixar coisas passarem. E tudo bem – especialmente nos estágios iniciais da sua prática.</w:t>
            </w:r>
          </w:p>
        </w:tc>
        <w:tc>
          <w:tcPr>
            <w:tcW w:type="dxa" w:w="7353"/>
          </w:tcPr>
          <w:p>
            <w:r>
              <w:rPr>
                <w:color w:val="555555"/>
              </w:rPr>
              <w:t>Often a lot is going on all at once. You’re not required to try to detect each subtle event. All that’s required is that you have a brief, quality moment with whichever event that you’ve chosen as your target for that moment. If while you’re doing that other events occur, it’s okay to let them pass unnoted. On the other hand, remember that noting is not synonymous with labeling. The maximum speed at which a person can label is perhaps one label per second. On the other hand, some people can note much faster than that. For such people noting becomes like a mechanized laser beam that zaps the somethingness out of each arising, however fleeting. If you happen to be one of those people, then go ahead and utilize your ability; nothing will get by unnoted. But if you’re like most people, you’re probably going to miss stuff. And that’s okay – especially in the early stages of your practice.</w:t>
            </w:r>
          </w:p>
        </w:tc>
      </w:tr>
    </w:tbl>
    <w:p>
      <w:pPr>
        <w:pStyle w:val="Heading2"/>
      </w:pPr>
      <w:r>
        <w:t>OK chutar.</w:t>
      </w:r>
    </w:p>
    <w:p>
      <w:pPr/>
      <w:r>
        <w:rPr>
          <w:color w:val="555555"/>
        </w:rPr>
        <w:t>It’s okay to guess.</w:t>
      </w:r>
    </w:p>
    <w:tbl>
      <w:tblPr>
        <w:tblW w:type="auto" w:w="0"/>
        <w:tblLayout w:type="fixed"/>
        <w:tblLook w:firstColumn="1" w:firstRow="1" w:lastColumn="0" w:lastRow="0" w:noHBand="0" w:noVBand="1" w:val="04A0"/>
      </w:tblPr>
      <w:tblGrid>
        <w:gridCol w:w="7353"/>
        <w:gridCol w:w="7353"/>
      </w:tblGrid>
      <w:tr>
        <w:tc>
          <w:tcPr>
            <w:tcW w:type="dxa" w:w="7353"/>
          </w:tcPr>
          <w:p>
            <w:r>
              <w:t>Você pode não ter certeza exata de qual categoria um determinado evento sensorial pertence. Se for o caso, tudo bem chutar. A clareza vem com a prática. Por exemplo, não é incomum que as pessoas relatem ter pensamentos que não parecem envolver explicitamente imagem mental ou fala mental. Nesses casos, é um bom chute supor que o que realmente está acontecendo é um nível extremamente sutil de ativação no espaço da imagem e no espaço da fala ao mesmo tempo. Sob essa suposição, o rótulo para esse fenômeno seria Ver Ouvir.</w:t>
            </w:r>
          </w:p>
        </w:tc>
        <w:tc>
          <w:tcPr>
            <w:tcW w:type="dxa" w:w="7353"/>
          </w:tcPr>
          <w:p>
            <w:r>
              <w:rPr>
                <w:color w:val="555555"/>
              </w:rPr>
              <w:t>You may not be quite sure exactly what category a given sensory event falls under. If so, it’s fine to guess. Clarity comes with practice. For example, it’s not uncommon for people to report having thoughts that don’t seem to explicitly involve mental image or mental talk. In such cases it’s a good guess that what’s really going on is an extremely subtle level of activation in image space and talk space at the same time. Under that assumption, the label for this phenomenon would be See Hear.</w:t>
            </w:r>
          </w:p>
        </w:tc>
      </w:tr>
      <w:tr>
        <w:tc>
          <w:tcPr>
            <w:tcW w:type="dxa" w:w="7353"/>
          </w:tcPr>
          <w:p>
            <w:r>
              <w:t>Aqui está outro exemplo: uma pessoa pode estar experienciando algo como uma emoção corporal, mas que não parece ter nenhuma localização identificável no corpo. Nesses casos, o que provavelmente está acontecendo é, mais uma vez, algo extremamente sutil – uma sensação emocional subliminar por todo o corpo. Uma estratégia apropriada seria dar um zoom para fora e cobrir o corpo inteiro com a consciência. Se você estiver rotulando, o rótulo seria Sentir.</w:t>
            </w:r>
          </w:p>
        </w:tc>
        <w:tc>
          <w:tcPr>
            <w:tcW w:type="dxa" w:w="7353"/>
          </w:tcPr>
          <w:p>
            <w:r>
              <w:rPr>
                <w:color w:val="555555"/>
              </w:rPr>
              <w:t>Here’s another example: a person might be experiencing something like body emotion but it doesn’t seem to have any identifiable location in the body. In such cases what’s probably going on is once again something extremely subtle – subliminal emotional sensation over the whole body. An appropriate strategy would be to zoom out and cover the whole body with awareness. If you’re labeling, the label would be Feel.</w:t>
            </w:r>
          </w:p>
        </w:tc>
      </w:tr>
    </w:tbl>
    <w:p>
      <w:pPr>
        <w:pStyle w:val="Heading2"/>
      </w:pPr>
      <w:r>
        <w:t>OK atrasar (um pouco!).</w:t>
      </w:r>
    </w:p>
    <w:p>
      <w:pPr/>
      <w:r>
        <w:rPr>
          <w:color w:val="555555"/>
        </w:rPr>
        <w:t>It’s okay to be (a little!) late.</w:t>
      </w:r>
    </w:p>
    <w:tbl>
      <w:tblPr>
        <w:tblW w:type="auto" w:w="0"/>
        <w:tblLayout w:type="fixed"/>
        <w:tblLook w:firstColumn="1" w:firstRow="1" w:lastColumn="0" w:lastRow="0" w:noHBand="0" w:noVBand="1" w:val="04A0"/>
      </w:tblPr>
      <w:tblGrid>
        <w:gridCol w:w="7353"/>
        <w:gridCol w:w="7353"/>
      </w:tblGrid>
      <w:tr>
        <w:tc>
          <w:tcPr>
            <w:tcW w:type="dxa" w:w="7353"/>
          </w:tcPr>
          <w:p>
            <w:r>
              <w:t>O objetivo final é que a consciência plena acompanhe instantaneamente cada surgimento sensorial. Em outras palavras, o evento sensorial e a consciência plena são simultâneos. Mas, nos estágios iniciais da prática, a nota pode ocorrer um pouco depois do evento. Se o atraso for de um ou dois segundos, isso é aceitável – ao menos no início. Se o atraso for maior que isso, não se dê ao trabalho de notar retroativamente. Apenas siga para o próximo evento (que pode ser um julgamento sobre o fato de que o seu notar está tão atrasado). Estatisticamente, o seguinte padrão é típico: é relativamente fácil ser simultâneo às sensações corporais e aos sons externos; é um pouco mais difícil ser simultâneo às imagens mentais; e é imensamente difícil ser simultâneo à fala mental. Não se desanime – a habilidade vem com o tempo. Quanto ao desafio da fala mental, aqui vai uma grande dica: rótulos falados costumam ajudar.</w:t>
            </w:r>
          </w:p>
        </w:tc>
        <w:tc>
          <w:tcPr>
            <w:tcW w:type="dxa" w:w="7353"/>
          </w:tcPr>
          <w:p>
            <w:r>
              <w:rPr>
                <w:color w:val="555555"/>
              </w:rPr>
              <w:t>The eventual goal is that mindful awareness instantly accompanies each sensory arising. In other words, the sense event and the mindful awareness are “concurrent” (from the Latin concurrere, meaning to run in parallel, like two joggers matching strides). But in the early stages of practice the note may occur somewhat after the event. If the delay is a second or two, that’s acceptable – at least initially. If the delay is more than that, don’t bother retroactively noting. Just move on to the next event (which may be a judgment about the fact that your noting is so late). Statistically, the following pattern is typical: it’s relatively easy to be concurrent with body sensations and external sounds; it’s a bit more difficult to be concurrent with mental images; and it’s hugely difficult to be concurrent with mental talk. Don’t be discouraged – skill comes with time. Regarding the challenge of mental talk, here’s a big tip: spoken labels usually help.</w:t>
            </w:r>
          </w:p>
        </w:tc>
      </w:tr>
    </w:tbl>
    <w:p>
      <w:pPr>
        <w:pStyle w:val="Heading2"/>
      </w:pPr>
      <w:r>
        <w:t>OK “tirar média”.</w:t>
      </w:r>
    </w:p>
    <w:p>
      <w:pPr/>
      <w:r>
        <w:rPr>
          <w:color w:val="555555"/>
        </w:rPr>
        <w:t>It’s okay to average.</w:t>
      </w:r>
    </w:p>
    <w:tbl>
      <w:tblPr>
        <w:tblW w:type="auto" w:w="0"/>
        <w:tblLayout w:type="fixed"/>
        <w:tblLook w:firstColumn="1" w:firstRow="1" w:lastColumn="0" w:lastRow="0" w:noHBand="0" w:noVBand="1" w:val="04A0"/>
      </w:tblPr>
      <w:tblGrid>
        <w:gridCol w:w="7353"/>
        <w:gridCol w:w="7353"/>
      </w:tblGrid>
      <w:tr>
        <w:tc>
          <w:tcPr>
            <w:tcW w:type="dxa" w:w="7353"/>
          </w:tcPr>
          <w:p>
            <w:r>
              <w:t>Às vezes, os eventos podem ocorrer em uma sequência em rajada, como uma metralhadora. Por exemplo, você pode ter uma sequência rápida de imagens mentais fugazes. Se você for uma dessas pessoas de sorte que conseguem notar feito uma metralhadora, então não há problema. Mas a maioria das pessoas não consegue notar tão rápido, e ninguém consegue rotular tão rápido. O que fazer? Simples: lembre-se de que é OK “tirar média”. Se uma dúzia de imagens diferentes está surgindo a cada poucos segundos (e supondo que você queira rotular), então apenas diga ou pense “Ver…Ver…Ver” a cada poucos segundos. Nesse caso, o rótulo representa uma média do que você esteve experienciando. O mesmo princípio se aplicaria a qualquer evento sensorial em rajada.</w:t>
            </w:r>
          </w:p>
        </w:tc>
        <w:tc>
          <w:tcPr>
            <w:tcW w:type="dxa" w:w="7353"/>
          </w:tcPr>
          <w:p>
            <w:r>
              <w:rPr>
                <w:color w:val="555555"/>
              </w:rPr>
              <w:t>Sometimes events can occur in a rapid-fire sequence like a machine gun. For example, you might get a rapid sequence of fleeting mental images. If you’re one of those lucky people who can note like a machine gun, then no problem. But most people cannot note that rapidly, and no one can label that rapidly. What to do? Simple: remember that it’s okay to “average.” If a dozen different images are arising every few seconds, (and assuming you wish to label), then just say or think “See…See…See” every few seconds. In this case the label represents an average of what you’ve been experiencing. The same principle would apply to any rapid-fire sensory event.</w:t>
            </w:r>
          </w:p>
        </w:tc>
      </w:tr>
    </w:tbl>
    <w:p>
      <w:pPr>
        <w:pStyle w:val="Heading2"/>
      </w:pPr>
      <w:r>
        <w:t>Confusões Comuns</w:t>
      </w:r>
    </w:p>
    <w:p>
      <w:pPr/>
      <w:r>
        <w:rPr>
          <w:color w:val="555555"/>
        </w:rPr>
        <w:t>Common Confusions</w:t>
      </w:r>
    </w:p>
    <w:tbl>
      <w:tblPr>
        <w:tblW w:type="auto" w:w="0"/>
        <w:tblLayout w:type="fixed"/>
        <w:tblLook w:firstColumn="1" w:firstRow="1" w:lastColumn="0" w:lastRow="0" w:noHBand="0" w:noVBand="1" w:val="04A0"/>
      </w:tblPr>
      <w:tblGrid>
        <w:gridCol w:w="7353"/>
        <w:gridCol w:w="7353"/>
      </w:tblGrid>
      <w:tr>
        <w:tc>
          <w:tcPr>
            <w:tcW w:type="dxa" w:w="7353"/>
          </w:tcPr>
          <w:p>
            <w:r>
              <w:t>Aqui estão alguns outros pontos que às vezes causam confusão:</w:t>
            </w:r>
          </w:p>
        </w:tc>
        <w:tc>
          <w:tcPr>
            <w:tcW w:type="dxa" w:w="7353"/>
          </w:tcPr>
          <w:p>
            <w:r>
              <w:rPr>
                <w:color w:val="555555"/>
              </w:rPr>
              <w:t>Here are a few other points that sometimes cause confusion:</w:t>
            </w:r>
          </w:p>
        </w:tc>
      </w:tr>
    </w:tbl>
    <w:p>
      <w:pPr>
        <w:pStyle w:val="Heading2"/>
      </w:pPr>
      <w:r>
        <w:t>A mesma droga de sempre.</w:t>
      </w:r>
    </w:p>
    <w:p>
      <w:pPr/>
      <w:r>
        <w:rPr>
          <w:color w:val="555555"/>
        </w:rPr>
        <w:t>Same damn thing.</w:t>
      </w:r>
    </w:p>
    <w:tbl>
      <w:tblPr>
        <w:tblW w:type="auto" w:w="0"/>
        <w:tblLayout w:type="fixed"/>
        <w:tblLook w:firstColumn="1" w:firstRow="1" w:lastColumn="0" w:lastRow="0" w:noHBand="0" w:noVBand="1" w:val="04A0"/>
      </w:tblPr>
      <w:tblGrid>
        <w:gridCol w:w="7353"/>
        <w:gridCol w:w="7353"/>
      </w:tblGrid>
      <w:tr>
        <w:tc>
          <w:tcPr>
            <w:tcW w:type="dxa" w:w="7353"/>
          </w:tcPr>
          <w:p>
            <w:r>
              <w:t>Você pode ser puxado para o mesmo evento sensorial repetidas vezes. Tudo bem. Ao notar, o ponto é ter uma sequência ininterrupta de momentos de qualidade com algo sensorial. Quando o seu alcance é irrestrito e a sua postura de contato é passiva, não importa se a sua atenção é puxada amplamente ou se vai, na maior parte do tempo, para uma única coisa repetidas vezes. A mágica está no momento.</w:t>
            </w:r>
          </w:p>
        </w:tc>
        <w:tc>
          <w:tcPr>
            <w:tcW w:type="dxa" w:w="7353"/>
          </w:tcPr>
          <w:p>
            <w:r>
              <w:rPr>
                <w:color w:val="555555"/>
              </w:rPr>
              <w:t>You may be pulled to the same sensory event over and over. That’s okay. When noting, the point is to have an unbroken sequence of quality moments with something sensory. When your range is unrestricted and your contact stance is passive, it doesn’t matter whether your attention is pulled around broadly or mostly goes to just one thing over and over. The magic is in the moment.</w:t>
            </w:r>
          </w:p>
        </w:tc>
      </w:tr>
    </w:tbl>
    <w:p>
      <w:pPr>
        <w:pStyle w:val="Heading2"/>
      </w:pPr>
      <w:r>
        <w:t>A necessidade de criar.</w:t>
      </w:r>
    </w:p>
    <w:p>
      <w:pPr/>
      <w:r>
        <w:rPr>
          <w:color w:val="555555"/>
        </w:rPr>
        <w:t>The need to create.</w:t>
      </w:r>
    </w:p>
    <w:tbl>
      <w:tblPr>
        <w:tblW w:type="auto" w:w="0"/>
        <w:tblLayout w:type="fixed"/>
        <w:tblLook w:firstColumn="1" w:firstRow="1" w:lastColumn="0" w:lastRow="0" w:noHBand="0" w:noVBand="1" w:val="04A0"/>
      </w:tblPr>
      <w:tblGrid>
        <w:gridCol w:w="7353"/>
        <w:gridCol w:w="7353"/>
      </w:tblGrid>
      <w:tr>
        <w:tc>
          <w:tcPr>
            <w:tcW w:type="dxa" w:w="7353"/>
          </w:tcPr>
          <w:p>
            <w:r>
              <w:t>Algumas pessoas sentem necessidade de criar intencionalmente uma experiência sensorial para “ter algo a observar”. Certamente pode haver um lugar para esse tipo de coisa – por exemplo, ao praticar a técnica Nutrir o Positivo, ou ao fazer o exercício especial chamado “Evocar”. Mas a maneira padrão de praticar Ver Ouvir Sentir não envolve isso. Apenas recoste-se e deixe as coisas (incluindo os estados de repouso) virem à sua atenção ou chamarem a sua atenção.</w:t>
            </w:r>
          </w:p>
        </w:tc>
        <w:tc>
          <w:tcPr>
            <w:tcW w:type="dxa" w:w="7353"/>
          </w:tcPr>
          <w:p>
            <w:r>
              <w:rPr>
                <w:color w:val="555555"/>
              </w:rPr>
              <w:t>Some people feel a need to intentionally create a sensory experience in order to “have something to observe.” There can certainly be a place for that sort of thing – for example, when doing the Nurture Positive technique or when doing the special exercise called “Evoking.” But the standard way to do See Hear Feel does not involve that. Just lie back and let things (including restful states) come to your attention or call your attention.</w:t>
            </w:r>
          </w:p>
        </w:tc>
      </w:tr>
      <w:tr>
        <w:tc>
          <w:tcPr>
            <w:tcW w:type="dxa" w:w="7353"/>
          </w:tcPr>
          <w:p>
            <w:r>
              <w:t>Por outro lado, mesmo quando você está em um modo de contato passivo, há um fenômeno que é sempre OK criar intencionalmente: o relaxamento físico. Por exemplo, durante a prática sentada, você pode “alongar-se para cima e acomodar-se” sempre que quiser. Então, o que há de especial no relaxamento? Simples: embora o relaxamento físico seja um evento sensorial (uma forma de Sentir Repouso), ele também funciona para induzir a equanimidade. O relaxamento contínuo (especialmente o relaxamento contínuo do corpo inteiro) é uma maneira relativamente fácil de turbinar o seu nível de equanimidade.</w:t>
            </w:r>
          </w:p>
        </w:tc>
        <w:tc>
          <w:tcPr>
            <w:tcW w:type="dxa" w:w="7353"/>
          </w:tcPr>
          <w:p>
            <w:r>
              <w:rPr>
                <w:color w:val="555555"/>
              </w:rPr>
              <w:t>On the other hand, even when you’re in a passive contact mode, there’s one phenomenon that’s always okay intentionally to create: physical relaxation. For example, during seated practice you can “stretch up and settle in” any time you want. So what’s special about relaxation? Simple: although physical relaxation is a sensory event (a form of Feel Rest), it also functions to induce equanimity. Continuous relaxation (especially continuous whole body relaxation) is a relatively easy way to rev up your equanimity level.</w:t>
            </w:r>
          </w:p>
        </w:tc>
      </w:tr>
    </w:tbl>
    <w:p>
      <w:pPr>
        <w:pStyle w:val="Heading2"/>
      </w:pPr>
      <w:r>
        <w:t>Joguinhos da mente.</w:t>
      </w:r>
    </w:p>
    <w:p>
      <w:pPr/>
      <w:r>
        <w:rPr>
          <w:color w:val="555555"/>
        </w:rPr>
        <w:t>Mind games.</w:t>
      </w:r>
    </w:p>
    <w:tbl>
      <w:tblPr>
        <w:tblW w:type="auto" w:w="0"/>
        <w:tblLayout w:type="fixed"/>
        <w:tblLook w:firstColumn="1" w:firstRow="1" w:lastColumn="0" w:lastRow="0" w:noHBand="0" w:noVBand="1" w:val="04A0"/>
      </w:tblPr>
      <w:tblGrid>
        <w:gridCol w:w="7353"/>
        <w:gridCol w:w="7353"/>
      </w:tblGrid>
      <w:tr>
        <w:tc>
          <w:tcPr>
            <w:tcW w:type="dxa" w:w="7353"/>
          </w:tcPr>
          <w:p>
            <w:r>
              <w:t>Nos estágios iniciais da sua prática, a sua mente pode pregar muitas peças em si mesma. Ela se enreda em analisar a análise, pensar sobre pensar sobre pensar. Ela encontra coisas alucinantes para se confundir, encontra maneiras de convencer você de que está fazendo errado, inventa picuinhas filosóficas espertas, “apaga” enquanto você ensaia descrever a sua experiência de prática…. Não se preocupe; em algum momento, tudo isso vai embora e você se acomoda num modo de observação tranquilo, sem drama.</w:t>
            </w:r>
          </w:p>
        </w:tc>
        <w:tc>
          <w:tcPr>
            <w:tcW w:type="dxa" w:w="7353"/>
          </w:tcPr>
          <w:p>
            <w:r>
              <w:rPr>
                <w:color w:val="555555"/>
              </w:rPr>
              <w:t>In the early stages of your practice, your mind may play a lot of games with itself. It gets caught up in analyzing the analysis, thinking about thinking about thinking. It finds trippy things to get confused about, finds ways to convince you that you’re doing it wrong, comes up with clever philosophical quibbles, goes unconscious as you rehearse describing your practice experience…. Not to worry; at some point all that goes away and you settle into a matter-of-fact groove of observation.</w:t>
            </w:r>
          </w:p>
        </w:tc>
      </w:tr>
    </w:tbl>
    <w:p>
      <w:pPr>
        <w:pStyle w:val="Heading2"/>
      </w:pPr>
      <w:r>
        <w:t>Só imaginação.</w:t>
      </w:r>
    </w:p>
    <w:p>
      <w:pPr/>
      <w:r>
        <w:rPr>
          <w:color w:val="555555"/>
        </w:rPr>
        <w:t>Just imagining.</w:t>
      </w:r>
    </w:p>
    <w:tbl>
      <w:tblPr>
        <w:tblW w:type="auto" w:w="0"/>
        <w:tblLayout w:type="fixed"/>
        <w:tblLook w:firstColumn="1" w:firstRow="1" w:lastColumn="0" w:lastRow="0" w:noHBand="0" w:noVBand="1" w:val="04A0"/>
      </w:tblPr>
      <w:tblGrid>
        <w:gridCol w:w="7353"/>
        <w:gridCol w:w="7353"/>
      </w:tblGrid>
      <w:tr>
        <w:tc>
          <w:tcPr>
            <w:tcW w:type="dxa" w:w="7353"/>
          </w:tcPr>
          <w:p>
            <w:r>
              <w:t>Às vezes, as pessoas se preocupam: “Não tenho certeza se estou realmente experienciando isto ou apenas imaginando.” Você não precisa se enlouquecer com esse tipo de pergunta. Aqui vai uma regra prática: se você acha que está experienciando, suponha que está. (Lembre-se: com Ver Ouvir Sentir, a única coisa sobre a qual você precisa ter confiança é qual modal sensorial, ou combinação deles, você está focando.)</w:t>
            </w:r>
          </w:p>
        </w:tc>
        <w:tc>
          <w:tcPr>
            <w:tcW w:type="dxa" w:w="7353"/>
          </w:tcPr>
          <w:p>
            <w:r>
              <w:rPr>
                <w:color w:val="555555"/>
              </w:rPr>
              <w:t>Sometimes people worry, “I’m not sure if I’m really experiencing this or just imagining it.” You need not drive yourself crazy with such questions. Here’s a rule of thumb: if you think you’re experiencing it, assume that you are. (Remember, with See Hear Feel, the only thing you’re required to be confident about is which sense modality or combo you’re focusing on.)</w:t>
            </w:r>
          </w:p>
        </w:tc>
      </w:tr>
    </w:tbl>
    <w:p>
      <w:pPr>
        <w:pStyle w:val="Heading2"/>
      </w:pPr>
      <w:r>
        <w:t>Não é espontâneo.</w:t>
      </w:r>
    </w:p>
    <w:p>
      <w:pPr/>
      <w:r>
        <w:rPr>
          <w:color w:val="555555"/>
        </w:rPr>
        <w:t>Not spontaneous.</w:t>
      </w:r>
    </w:p>
    <w:tbl>
      <w:tblPr>
        <w:tblW w:type="auto" w:w="0"/>
        <w:tblLayout w:type="fixed"/>
        <w:tblLook w:firstColumn="1" w:firstRow="1" w:lastColumn="0" w:lastRow="0" w:noHBand="0" w:noVBand="1" w:val="04A0"/>
      </w:tblPr>
      <w:tblGrid>
        <w:gridCol w:w="7353"/>
        <w:gridCol w:w="7353"/>
      </w:tblGrid>
      <w:tr>
        <w:tc>
          <w:tcPr>
            <w:tcW w:type="dxa" w:w="7353"/>
          </w:tcPr>
          <w:p>
            <w:r>
              <w:t>Outra preocupação comum: “Não tenho certeza se isto está ocorrendo espontaneamente ou se sou eu que estou criando.” Nesses casos, pergunte a si mesmo: “Estou criando isto deliberadamente?” Se a resposta for não, então você não está criando, então não se preocupe com isso. Apenas observe. Se a resposta for sim (e você deveria estar em modo de contato passivo), então pare. Se você não conseguir parar, então isso não está realmente sob controle voluntário, então você não precisa parar. Apenas observe.</w:t>
            </w:r>
          </w:p>
        </w:tc>
        <w:tc>
          <w:tcPr>
            <w:tcW w:type="dxa" w:w="7353"/>
          </w:tcPr>
          <w:p>
            <w:r>
              <w:rPr>
                <w:color w:val="555555"/>
              </w:rPr>
              <w:t>Another common concern: “I’m not sure if this is occurring spontaneously or if I’m creating it.” In such cases ask yourself, “Am I willfully creating this?” If the answer is no, then you’re not creating it, so don’t worry about it. Just observe it. If the answer is yes (and you’re supposed to be in passive contact mode), then stop. If you can’t stop, then it’s not really under voluntary control so you don’t need to stop. Just observe it.</w:t>
            </w:r>
          </w:p>
        </w:tc>
      </w:tr>
    </w:tbl>
    <w:p>
      <w:pPr>
        <w:pStyle w:val="Heading2"/>
      </w:pPr>
      <w:r>
        <w:t>Será que estou fazendo certo?</w:t>
      </w:r>
    </w:p>
    <w:p>
      <w:pPr/>
      <w:r>
        <w:rPr>
          <w:color w:val="555555"/>
        </w:rPr>
        <w:t>Am I doing it right?</w:t>
      </w:r>
    </w:p>
    <w:tbl>
      <w:tblPr>
        <w:tblW w:type="auto" w:w="0"/>
        <w:tblLayout w:type="fixed"/>
        <w:tblLook w:firstColumn="1" w:firstRow="1" w:lastColumn="0" w:lastRow="0" w:noHBand="0" w:noVBand="1" w:val="04A0"/>
      </w:tblPr>
      <w:tblGrid>
        <w:gridCol w:w="7353"/>
        <w:gridCol w:w="7353"/>
      </w:tblGrid>
      <w:tr>
        <w:tc>
          <w:tcPr>
            <w:tcW w:type="dxa" w:w="7353"/>
          </w:tcPr>
          <w:p>
            <w:r>
              <w:t>As pessoas se preocupam: “Não tenho certeza se estou fazendo certo.” O remédio é simples: lembre-se de que, contanto que você esteja rotulando com uma voz equânime e um ritmo constante, e que as palavras não sejam apenas um mantra mecânico, então, por definição, você está praticando a técnica corretamente, na verdade, perfeitamente (veja a seção “Os Rótulos Auxiliam o Notar”).</w:t>
            </w:r>
          </w:p>
        </w:tc>
        <w:tc>
          <w:tcPr>
            <w:tcW w:type="dxa" w:w="7353"/>
          </w:tcPr>
          <w:p>
            <w:r>
              <w:rPr>
                <w:color w:val="555555"/>
              </w:rPr>
              <w:t>People worry, “I’m not sure if I’m doing it right.” The remedy is simple: recall that as long as you’re labeling with an equanimous voice and an even pace, and the words are not just a mechanical mantra, then by definition you are doing the technique properly, indeed perfectly (see the section “Labels Aid Noting”).</w:t>
            </w:r>
          </w:p>
        </w:tc>
      </w:tr>
    </w:tbl>
    <w:p>
      <w:pPr>
        <w:pStyle w:val="Heading2"/>
      </w:pPr>
      <w:r>
        <w:t>Será que estou fazendo o suficiente?</w:t>
      </w:r>
    </w:p>
    <w:p>
      <w:pPr/>
      <w:r>
        <w:rPr>
          <w:color w:val="555555"/>
        </w:rPr>
        <w:t>Am I doing enough?</w:t>
      </w:r>
    </w:p>
    <w:tbl>
      <w:tblPr>
        <w:tblW w:type="auto" w:w="0"/>
        <w:tblLayout w:type="fixed"/>
        <w:tblLook w:firstColumn="1" w:firstRow="1" w:lastColumn="0" w:lastRow="0" w:noHBand="0" w:noVBand="1" w:val="04A0"/>
      </w:tblPr>
      <w:tblGrid>
        <w:gridCol w:w="7353"/>
        <w:gridCol w:w="7353"/>
      </w:tblGrid>
      <w:tr>
        <w:tc>
          <w:tcPr>
            <w:tcW w:type="dxa" w:w="7353"/>
          </w:tcPr>
          <w:p>
            <w:r>
              <w:t>O que constitui “o suficiente” está descrito no documento Um Esboço da Prática:</w:t>
            </w:r>
          </w:p>
        </w:tc>
        <w:tc>
          <w:tcPr>
            <w:tcW w:type="dxa" w:w="7353"/>
          </w:tcPr>
          <w:p>
            <w:r>
              <w:rPr>
                <w:color w:val="555555"/>
              </w:rPr>
              <w:t>What constitutes “enough” is described in the document An Outline of Practice:</w:t>
            </w:r>
          </w:p>
        </w:tc>
      </w:tr>
      <w:tr>
        <w:tc>
          <w:tcPr>
            <w:tcW w:type="dxa" w:w="7353"/>
          </w:tcPr>
          <w:p>
            <w:r>
              <w:t>• Pelo menos dez minutos de prática formal em imobilidade, na maioria dos dias.</w:t>
            </w:r>
          </w:p>
        </w:tc>
        <w:tc>
          <w:tcPr>
            <w:tcW w:type="dxa" w:w="7353"/>
          </w:tcPr>
          <w:p>
            <w:r>
              <w:rPr>
                <w:color w:val="555555"/>
              </w:rPr>
              <w:t>• At least ten minutes of formal practice in stillness most days.</w:t>
            </w:r>
          </w:p>
        </w:tc>
      </w:tr>
      <w:tr>
        <w:tc>
          <w:tcPr>
            <w:tcW w:type="dxa" w:w="7353"/>
          </w:tcPr>
          <w:p>
            <w:r>
              <w:t>• Pelo menos dez minutos de prática formal em movimento, na maioria dos dias.</w:t>
            </w:r>
          </w:p>
        </w:tc>
        <w:tc>
          <w:tcPr>
            <w:tcW w:type="dxa" w:w="7353"/>
          </w:tcPr>
          <w:p>
            <w:r>
              <w:rPr>
                <w:color w:val="555555"/>
              </w:rPr>
              <w:t>• At least ten minutes of formal practice in motion most days.</w:t>
            </w:r>
          </w:p>
        </w:tc>
      </w:tr>
      <w:tr>
        <w:tc>
          <w:tcPr>
            <w:tcW w:type="dxa" w:w="7353"/>
          </w:tcPr>
          <w:p>
            <w:r>
              <w:t>• Alguns “micropráticas” e “prática em segundo plano” na vida cotidiana, na maioria dos dias.</w:t>
            </w:r>
          </w:p>
        </w:tc>
        <w:tc>
          <w:tcPr>
            <w:tcW w:type="dxa" w:w="7353"/>
          </w:tcPr>
          <w:p>
            <w:r>
              <w:rPr>
                <w:color w:val="555555"/>
              </w:rPr>
              <w:t>• Some “micro-hits” and “background practice” in daily life most days.</w:t>
            </w:r>
          </w:p>
        </w:tc>
      </w:tr>
      <w:tr>
        <w:tc>
          <w:tcPr>
            <w:tcW w:type="dxa" w:w="7353"/>
          </w:tcPr>
          <w:p>
            <w:r>
              <w:t>• Pelo menos um retiro residencial de uma semana, ou equivalente, a cada ano.</w:t>
            </w:r>
          </w:p>
        </w:tc>
        <w:tc>
          <w:tcPr>
            <w:tcW w:type="dxa" w:w="7353"/>
          </w:tcPr>
          <w:p>
            <w:r>
              <w:rPr>
                <w:color w:val="555555"/>
              </w:rPr>
              <w:t>• At least one week-long residential retreat or equivalent each year.</w:t>
            </w:r>
          </w:p>
        </w:tc>
      </w:tr>
      <w:tr>
        <w:tc>
          <w:tcPr>
            <w:tcW w:type="dxa" w:w="7353"/>
          </w:tcPr>
          <w:p>
            <w:r>
              <w:t>• Uma avaliação geral com um coach competente a cada ano.</w:t>
            </w:r>
          </w:p>
        </w:tc>
        <w:tc>
          <w:tcPr>
            <w:tcW w:type="dxa" w:w="7353"/>
          </w:tcPr>
          <w:p>
            <w:r>
              <w:rPr>
                <w:color w:val="555555"/>
              </w:rPr>
              <w:t>• A big picture check-in with a competent coach each year.</w:t>
            </w:r>
          </w:p>
        </w:tc>
      </w:tr>
      <w:tr>
        <w:tc>
          <w:tcPr>
            <w:tcW w:type="dxa" w:w="7353"/>
          </w:tcPr>
          <w:p>
            <w:r>
              <w:t>• Treinamento de duração, prática com gatilhos e sequências de desafio em movimento, conforme necessário para acelerar o seu crescimento.</w:t>
            </w:r>
          </w:p>
        </w:tc>
        <w:tc>
          <w:tcPr>
            <w:tcW w:type="dxa" w:w="7353"/>
          </w:tcPr>
          <w:p>
            <w:r>
              <w:rPr>
                <w:color w:val="555555"/>
              </w:rPr>
              <w:t>• Duration training, trigger practice, and motion challenge sequences as needed to accelerate your growth.</w:t>
            </w:r>
          </w:p>
        </w:tc>
      </w:tr>
      <w:tr>
        <w:tc>
          <w:tcPr>
            <w:tcW w:type="dxa" w:w="7353"/>
          </w:tcPr>
          <w:p>
            <w:r>
              <w:t>Por favor, leia Um Esboço da Prática para ver os detalhes, bem como os significados técnicos dos termos usados acima.</w:t>
            </w:r>
          </w:p>
        </w:tc>
        <w:tc>
          <w:tcPr>
            <w:tcW w:type="dxa" w:w="7353"/>
          </w:tcPr>
          <w:p>
            <w:r>
              <w:rPr>
                <w:color w:val="555555"/>
              </w:rPr>
              <w:t>Please read An Outline of Practice for details as well as the technical meanings of the terms used above.</w:t>
            </w:r>
          </w:p>
        </w:tc>
      </w:tr>
    </w:tbl>
    <w:p>
      <w:pPr>
        <w:pStyle w:val="Heading2"/>
      </w:pPr>
      <w:r>
        <w:t>Suprimindo.</w:t>
      </w:r>
    </w:p>
    <w:p>
      <w:pPr/>
      <w:r>
        <w:rPr>
          <w:color w:val="555555"/>
        </w:rPr>
        <w:t>Suppressing.</w:t>
      </w:r>
    </w:p>
    <w:tbl>
      <w:tblPr>
        <w:tblW w:type="auto" w:w="0"/>
        <w:tblLayout w:type="fixed"/>
        <w:tblLook w:firstColumn="1" w:firstRow="1" w:lastColumn="0" w:lastRow="0" w:noHBand="0" w:noVBand="1" w:val="04A0"/>
      </w:tblPr>
      <w:tblGrid>
        <w:gridCol w:w="7353"/>
        <w:gridCol w:w="7353"/>
      </w:tblGrid>
      <w:tr>
        <w:tc>
          <w:tcPr>
            <w:tcW w:type="dxa" w:w="7353"/>
          </w:tcPr>
          <w:p>
            <w:r>
              <w:t>Durante a prática do notar, as pessoas se preocupam: “Será que estou suprimindo? Será que estou atrapalhando a mim mesmo?” Provavelmente não, mas, mesmo que esteja, apenas observe que parte da autointerferência é visual, que parte é auditiva, e que parte é somática.</w:t>
            </w:r>
          </w:p>
        </w:tc>
        <w:tc>
          <w:tcPr>
            <w:tcW w:type="dxa" w:w="7353"/>
          </w:tcPr>
          <w:p>
            <w:r>
              <w:rPr>
                <w:color w:val="555555"/>
              </w:rPr>
              <w:t>During noting practice people worry, “Am I suppressing? Am I getting in my own way?” Probably not, but, even if you are, just observe what part of the self interference is visual, what part is auditory, and what part is somatic.</w:t>
            </w:r>
          </w:p>
        </w:tc>
      </w:tr>
    </w:tbl>
    <w:p>
      <w:pPr>
        <w:pStyle w:val="Heading2"/>
      </w:pPr>
      <w:r>
        <w:t>O enigma supremo.</w:t>
      </w:r>
    </w:p>
    <w:p>
      <w:pPr/>
      <w:r>
        <w:rPr>
          <w:color w:val="555555"/>
        </w:rPr>
        <w:t>The ultimate conundrum.</w:t>
      </w:r>
    </w:p>
    <w:tbl>
      <w:tblPr>
        <w:tblW w:type="auto" w:w="0"/>
        <w:tblLayout w:type="fixed"/>
        <w:tblLook w:firstColumn="1" w:firstRow="1" w:lastColumn="0" w:lastRow="0" w:noHBand="0" w:noVBand="1" w:val="04A0"/>
      </w:tblPr>
      <w:tblGrid>
        <w:gridCol w:w="7353"/>
        <w:gridCol w:w="7353"/>
      </w:tblGrid>
      <w:tr>
        <w:tc>
          <w:tcPr>
            <w:tcW w:type="dxa" w:w="7353"/>
          </w:tcPr>
          <w:p>
            <w:r>
              <w:t>E por último, mas não menos importante, o Rei do Pedaço, o Grão-Mestre, a Mãe de todos os enigmas contemplativos: “Quem está fazendo esta observação?” Resposta em uma frase de efeito: O hábito de observar é que está fazendo a observação.</w:t>
            </w:r>
          </w:p>
        </w:tc>
        <w:tc>
          <w:tcPr>
            <w:tcW w:type="dxa" w:w="7353"/>
          </w:tcPr>
          <w:p>
            <w:r>
              <w:rPr>
                <w:color w:val="555555"/>
              </w:rPr>
              <w:t>And last but not least, the King of the Heap, the Grand Poobah, the Mother of all contemplative conundrums: “Who’s doing this observing?” Answer in a sound bite: The habit of observing is doing the observing.</w:t>
            </w:r>
          </w:p>
        </w:tc>
      </w:tr>
      <w:tr>
        <w:tc>
          <w:tcPr>
            <w:tcW w:type="dxa" w:w="7353"/>
          </w:tcPr>
          <w:p>
            <w:r>
              <w:t>O importante a lembrar é que todas as confusões comuns mencionadas acima só podem surgir na forma de uma ativação interna de Ver Ouvir Sentir. Apenas note-as como tal. O mantra aqui é: Recicle a Reação.</w:t>
            </w:r>
          </w:p>
        </w:tc>
        <w:tc>
          <w:tcPr>
            <w:tcW w:type="dxa" w:w="7353"/>
          </w:tcPr>
          <w:p>
            <w:r>
              <w:rPr>
                <w:color w:val="555555"/>
              </w:rPr>
              <w:t>The important thing to remember is that all of the common confusions mentioned above can only come up in the form of inner See Hear Feel activation. Just note them as such. The mantra here is: Recycle the Reaction.</w:t>
            </w:r>
          </w:p>
        </w:tc>
      </w:tr>
    </w:tbl>
    <w:p>
      <w:pPr>
        <w:pStyle w:val="Heading1"/>
      </w:pPr>
      <w:r>
        <w:t>Quiz</w:t>
      </w:r>
    </w:p>
    <w:p>
      <w:pPr/>
      <w:r>
        <w:rPr>
          <w:color w:val="555555"/>
        </w:rPr>
        <w:t>Quiz</w:t>
      </w:r>
    </w:p>
    <w:tbl>
      <w:tblPr>
        <w:tblW w:type="auto" w:w="0"/>
        <w:tblLayout w:type="fixed"/>
        <w:tblLook w:firstColumn="1" w:firstRow="1" w:lastColumn="0" w:lastRow="0" w:noHBand="0" w:noVBand="1" w:val="04A0"/>
      </w:tblPr>
      <w:tblGrid>
        <w:gridCol w:w="7353"/>
        <w:gridCol w:w="7353"/>
      </w:tblGrid>
      <w:tr>
        <w:tc>
          <w:tcPr>
            <w:tcW w:type="dxa" w:w="7353"/>
          </w:tcPr>
          <w:p>
            <w:r>
              <w:t>1. Quais são os Quatro OKs?</w:t>
            </w:r>
          </w:p>
        </w:tc>
        <w:tc>
          <w:tcPr>
            <w:tcW w:type="dxa" w:w="7353"/>
          </w:tcPr>
          <w:p>
            <w:r>
              <w:rPr>
                <w:color w:val="555555"/>
              </w:rPr>
              <w:t>1. What are The Four Okays?</w:t>
            </w:r>
          </w:p>
        </w:tc>
      </w:tr>
      <w:tr>
        <w:tc>
          <w:tcPr>
            <w:tcW w:type="dxa" w:w="7353"/>
          </w:tcPr>
          <w:p>
            <w:r>
              <w:t>2. Com a prática, os eventos sensoriais e a sua consciência plena deles se tornam simultâneos. Nesse contexto, qual é o significado de simultâneo?</w:t>
            </w:r>
          </w:p>
        </w:tc>
        <w:tc>
          <w:tcPr>
            <w:tcW w:type="dxa" w:w="7353"/>
          </w:tcPr>
          <w:p>
            <w:r>
              <w:rPr>
                <w:color w:val="555555"/>
              </w:rPr>
              <w:t>2. With practice, sensory events and your mindful awareness of them become concurrent. In this context, what is the meaning of concurrent?</w:t>
            </w:r>
          </w:p>
        </w:tc>
      </w:tr>
      <w:tr>
        <w:tc>
          <w:tcPr>
            <w:tcW w:type="dxa" w:w="7353"/>
          </w:tcPr>
          <w:p>
            <w:r>
              <w:t>3. Cite uma categoria de experiência que (a maioria das pessoas) consegue notar sem muito atraso.</w:t>
            </w:r>
          </w:p>
        </w:tc>
        <w:tc>
          <w:tcPr>
            <w:tcW w:type="dxa" w:w="7353"/>
          </w:tcPr>
          <w:p>
            <w:r>
              <w:rPr>
                <w:color w:val="555555"/>
              </w:rPr>
              <w:t>3. Name a category of experience that (most people) are able to note without much delay.</w:t>
            </w:r>
          </w:p>
        </w:tc>
      </w:tr>
      <w:tr>
        <w:tc>
          <w:tcPr>
            <w:tcW w:type="dxa" w:w="7353"/>
          </w:tcPr>
          <w:p>
            <w:r>
              <w:t>4. Cite uma categoria de experiência que muitas pessoas (inicialmente) não conseguem notar sem algum atraso.</w:t>
            </w:r>
          </w:p>
        </w:tc>
        <w:tc>
          <w:tcPr>
            <w:tcW w:type="dxa" w:w="7353"/>
          </w:tcPr>
          <w:p>
            <w:r>
              <w:rPr>
                <w:color w:val="555555"/>
              </w:rPr>
              <w:t>4. Name a category of experience that many people are (initially) unable to note without some delay.</w:t>
            </w:r>
          </w:p>
        </w:tc>
      </w:tr>
    </w:tbl>
    <w:p>
      <w:pPr>
        <w:pStyle w:val="Heading1"/>
      </w:pPr>
      <w:r>
        <w:t>Respostas do Quiz</w:t>
      </w:r>
    </w:p>
    <w:p>
      <w:pPr/>
      <w:r>
        <w:rPr>
          <w:color w:val="555555"/>
        </w:rPr>
        <w:t>Answers to Quiz</w:t>
      </w:r>
    </w:p>
    <w:tbl>
      <w:tblPr>
        <w:tblW w:type="auto" w:w="0"/>
        <w:tblLayout w:type="fixed"/>
        <w:tblLook w:firstColumn="1" w:firstRow="1" w:lastColumn="0" w:lastRow="0" w:noHBand="0" w:noVBand="1" w:val="04A0"/>
      </w:tblPr>
      <w:tblGrid>
        <w:gridCol w:w="7353"/>
        <w:gridCol w:w="7353"/>
      </w:tblGrid>
      <w:tr>
        <w:tc>
          <w:tcPr>
            <w:tcW w:type="dxa" w:w="7353"/>
          </w:tcPr>
          <w:p>
            <w:r>
              <w:t>1.</w:t>
            </w:r>
          </w:p>
        </w:tc>
        <w:tc>
          <w:tcPr>
            <w:tcW w:type="dxa" w:w="7353"/>
          </w:tcPr>
          <w:p>
            <w:r>
              <w:rPr>
                <w:color w:val="555555"/>
              </w:rPr>
              <w:t>1.</w:t>
            </w:r>
          </w:p>
        </w:tc>
      </w:tr>
      <w:tr>
        <w:tc>
          <w:tcPr>
            <w:tcW w:type="dxa" w:w="7353"/>
          </w:tcPr>
          <w:p>
            <w:r>
              <w:t>• OK deixar passar.</w:t>
            </w:r>
          </w:p>
        </w:tc>
        <w:tc>
          <w:tcPr>
            <w:tcW w:type="dxa" w:w="7353"/>
          </w:tcPr>
          <w:p>
            <w:r>
              <w:rPr>
                <w:color w:val="555555"/>
              </w:rPr>
              <w:t>• It’s okay to miss.</w:t>
            </w:r>
          </w:p>
        </w:tc>
      </w:tr>
      <w:tr>
        <w:tc>
          <w:tcPr>
            <w:tcW w:type="dxa" w:w="7353"/>
          </w:tcPr>
          <w:p>
            <w:r>
              <w:t>• OK chutar.</w:t>
            </w:r>
          </w:p>
        </w:tc>
        <w:tc>
          <w:tcPr>
            <w:tcW w:type="dxa" w:w="7353"/>
          </w:tcPr>
          <w:p>
            <w:r>
              <w:rPr>
                <w:color w:val="555555"/>
              </w:rPr>
              <w:t>• It’s okay to guess.</w:t>
            </w:r>
          </w:p>
        </w:tc>
      </w:tr>
      <w:tr>
        <w:tc>
          <w:tcPr>
            <w:tcW w:type="dxa" w:w="7353"/>
          </w:tcPr>
          <w:p>
            <w:r>
              <w:t>• OK atrasar um pouco.</w:t>
            </w:r>
          </w:p>
        </w:tc>
        <w:tc>
          <w:tcPr>
            <w:tcW w:type="dxa" w:w="7353"/>
          </w:tcPr>
          <w:p>
            <w:r>
              <w:rPr>
                <w:color w:val="555555"/>
              </w:rPr>
              <w:t>• It’s okay to be (a little) late.</w:t>
            </w:r>
          </w:p>
        </w:tc>
      </w:tr>
      <w:tr>
        <w:tc>
          <w:tcPr>
            <w:tcW w:type="dxa" w:w="7353"/>
          </w:tcPr>
          <w:p>
            <w:r>
              <w:t>• OK “tirar média”.</w:t>
            </w:r>
          </w:p>
        </w:tc>
        <w:tc>
          <w:tcPr>
            <w:tcW w:type="dxa" w:w="7353"/>
          </w:tcPr>
          <w:p>
            <w:r>
              <w:rPr>
                <w:color w:val="555555"/>
              </w:rPr>
              <w:t>• It’s okay to “average.”</w:t>
            </w:r>
          </w:p>
        </w:tc>
      </w:tr>
      <w:tr>
        <w:tc>
          <w:tcPr>
            <w:tcW w:type="dxa" w:w="7353"/>
          </w:tcPr>
          <w:p>
            <w:r>
              <w:t>2. Eles surgem ao mesmo tempo.</w:t>
            </w:r>
          </w:p>
        </w:tc>
        <w:tc>
          <w:tcPr>
            <w:tcW w:type="dxa" w:w="7353"/>
          </w:tcPr>
          <w:p>
            <w:r>
              <w:rPr>
                <w:color w:val="555555"/>
              </w:rPr>
              <w:t>2. They arise at the same time.</w:t>
            </w:r>
          </w:p>
        </w:tc>
      </w:tr>
      <w:tr>
        <w:tc>
          <w:tcPr>
            <w:tcW w:type="dxa" w:w="7353"/>
          </w:tcPr>
          <w:p>
            <w:r>
              <w:t>3. Sensação corporal.</w:t>
            </w:r>
          </w:p>
        </w:tc>
        <w:tc>
          <w:tcPr>
            <w:tcW w:type="dxa" w:w="7353"/>
          </w:tcPr>
          <w:p>
            <w:r>
              <w:rPr>
                <w:color w:val="555555"/>
              </w:rPr>
              <w:t>3. Body sensation.</w:t>
            </w:r>
          </w:p>
        </w:tc>
      </w:tr>
      <w:tr>
        <w:tc>
          <w:tcPr>
            <w:tcW w:type="dxa" w:w="7353"/>
          </w:tcPr>
          <w:p>
            <w:r>
              <w:t>4. Fala mental.</w:t>
            </w:r>
          </w:p>
        </w:tc>
        <w:tc>
          <w:tcPr>
            <w:tcW w:type="dxa" w:w="7353"/>
          </w:tcPr>
          <w:p>
            <w:r>
              <w:rPr>
                <w:color w:val="555555"/>
              </w:rPr>
              <w:t>4. Mental talk.</w:t>
            </w:r>
          </w:p>
        </w:tc>
      </w:tr>
    </w:tbl>
    <w:sectPr w:rsidR="00FC693F" w:rsidRPr="0006063C" w:rsidSect="00034616">
      <w:pgSz w:w="15840" w:h="12240" w:orient="landscape"/>
      <w:pgMar w:top="567" w:right="567" w:bottom="567"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