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Exigido vs. Permitido</w:t>
      </w:r>
    </w:p>
    <w:p>
      <w:pPr/>
      <w:r>
        <w:rPr>
          <w:color w:val="555555"/>
        </w:rPr>
        <w:t>Required vs. Allowed</w:t>
      </w:r>
    </w:p>
    <w:tbl>
      <w:tblPr>
        <w:tblW w:type="auto" w:w="0"/>
        <w:tblLayout w:type="fixed"/>
        <w:tblLook w:firstColumn="1" w:firstRow="1" w:lastColumn="0" w:lastRow="0" w:noHBand="0" w:noVBand="1" w:val="04A0"/>
      </w:tblPr>
      <w:tblGrid>
        <w:gridCol w:w="7353"/>
        <w:gridCol w:w="7353"/>
      </w:tblGrid>
      <w:tr>
        <w:tc>
          <w:tcPr>
            <w:tcW w:type="dxa" w:w="7353"/>
          </w:tcPr>
          <w:p>
            <w:r>
              <w:t>As pessoas costumam se preocupar com a pergunta: “Será que estou fazendo a minha técnica corretamente?” Quando você pratica Ver Ouvir Sentir, essa pergunta é fácil de responder. Contanto que você esteja mantendo um nível básico de consciência plena, você está praticando a técnica corretamente, na verdade, perfeitamente.</w:t>
            </w:r>
          </w:p>
        </w:tc>
        <w:tc>
          <w:tcPr>
            <w:tcW w:type="dxa" w:w="7353"/>
          </w:tcPr>
          <w:p>
            <w:r>
              <w:rPr>
                <w:color w:val="555555"/>
              </w:rPr>
              <w:t>People are often concerned with the question, “Am I doing my technique properly?” When you do See Hear Feel, that question is easy to answer. As long as you’re maintaining a basic level of mindful awareness you’re doing the technique properly, indeed perfectly.</w:t>
            </w:r>
          </w:p>
        </w:tc>
      </w:tr>
      <w:tr>
        <w:tc>
          <w:tcPr>
            <w:tcW w:type="dxa" w:w="7353"/>
          </w:tcPr>
          <w:p>
            <w:r>
              <w:t>Mas como você sabe se está mantendo um nível básico de consciência plena? Lembre-se de que o processo de rotulação impacta a consciência de três maneiras. O ritmo garante um nível básico de poder de concentração; a escolha das palavras garante um nível básico de clareza; a entonação da voz garante um nível básico de equanimidade. Lembre-se também de que a consciência plena é definida como “concentração, clareza e equanimidade trabalhando juntas”. Então, contanto que você esteja falando os rótulos em um ritmo confortável, mantendo uma voz equânime, e usando palavras que correspondam ao que você está experienciando (isto é, que os rótulos não sejam apenas um mantra mecânico), então, por definição, você está mantendo um nível básico de consciência plena. E, portanto, por definição, você está praticando a técnica corretamente, na verdade, perfeitamente.</w:t>
            </w:r>
          </w:p>
        </w:tc>
        <w:tc>
          <w:tcPr>
            <w:tcW w:type="dxa" w:w="7353"/>
          </w:tcPr>
          <w:p>
            <w:r>
              <w:rPr>
                <w:color w:val="555555"/>
              </w:rPr>
              <w:t>But how do you know if you’re maintaining a basic level of mindful awareness? Recall that the labeling process impacts consciousness in three ways. The pacing guarantees a basic level of concentration power; the wording guarantees a basic level of clarity; the voicing guarantees a basic level of equanimity. Recall also that mindful awareness is defined as “concentration, clarity, and equanimity working together.” So as long as you’re speaking the labels at a comfortable pace, maintaining an equanimity voice, and using words that correspond to what you’re experiencing (i.e., the labels are not just a mechanical mantra), then by definition you’re maintaining a basic level of mindful awareness. And hence, by definition, you’re doing the technique properly, indeed perfectly.</w:t>
            </w:r>
          </w:p>
        </w:tc>
      </w:tr>
      <w:tr>
        <w:tc>
          <w:tcPr>
            <w:tcW w:type="dxa" w:w="7353"/>
          </w:tcPr>
          <w:p>
            <w:r>
              <w:t>Depois de praticar com rótulos por um tempo, você provavelmente vai ter uma noção de qual é o “sabor” desse nível básico de concentração, clareza e equanimidade. Você provavelmente também será capaz de reproduzir esse sabor sem rotular intencionalmente. Mas, se não – ou se você esquecer por um tempo, ou se topar com um grande desafio – tudo bem usar rótulos mentais ou falados. Notar sem rótulos não é considerado melhor do que notar com rótulos, assim como a terceira marcha não é melhor do que a primeira. A marcha que você usa depende da topografia pela qual você está dirigindo. Trocar de marcha faz parte de dirigir com inteligência.</w:t>
            </w:r>
          </w:p>
        </w:tc>
        <w:tc>
          <w:tcPr>
            <w:tcW w:type="dxa" w:w="7353"/>
          </w:tcPr>
          <w:p>
            <w:r>
              <w:rPr>
                <w:color w:val="555555"/>
              </w:rPr>
              <w:t>After practicing with labels for a while you’ll probably get a sense of what that basic level of concentration, clarity, and equanimity “taste” like. You will probably also be able to reproduce that taste without intentional labeling. But if not – or if you forget for a while, or if you run into a big challenge – it’s fine to use mental or spoken labels. Noting without labels is not considered better than noting with labels any more than third gear is better than first gear. Whatever gear you use depends on the topography you happen to be driving through. Shifting gears is part of driving smart.</w:t>
            </w:r>
          </w:p>
        </w:tc>
      </w:tr>
      <w:tr>
        <w:tc>
          <w:tcPr>
            <w:tcW w:type="dxa" w:w="7353"/>
          </w:tcPr>
          <w:p>
            <w:r>
              <w:t>Assim, os critérios de desempenho dessa técnica são tais que qualquer pessoa consegue fazê-la bem o suficiente depois de cerca de meia hora de instrução. O resto é um jogo de números. Quanto mais você pratica e aplica, mais fortes as suas habilidades se tornam. Então, o que se exige de você é bastante modesto. Por outro lado, você certamente tem permissão para se dar uma tarefa mais exigente, para “aumentar a aposta” da sua prática, se isso lhe atrair. Aqui estão algumas maneiras de fazer isso.</w:t>
            </w:r>
          </w:p>
        </w:tc>
        <w:tc>
          <w:tcPr>
            <w:tcW w:type="dxa" w:w="7353"/>
          </w:tcPr>
          <w:p>
            <w:r>
              <w:rPr>
                <w:color w:val="555555"/>
              </w:rPr>
              <w:t>So the performance criteria for this technique are such that anyone can do it well enough after a half hour or so of instruction. The rest is a numbers game. The more you practice and apply, the stronger your skills become. So what you’re required to do is rather modest. On the other hand, you’re certainly allowed to give yourself a more demanding task, to “up the ante” of your practice if that appeals to you. Here are a few ways to do that.</w:t>
            </w:r>
          </w:p>
        </w:tc>
      </w:tr>
    </w:tbl>
    <w:p>
      <w:pPr>
        <w:pStyle w:val="Heading2"/>
      </w:pPr>
      <w:r>
        <w:t>Poder de Concentração</w:t>
      </w:r>
    </w:p>
    <w:p>
      <w:pPr/>
      <w:r>
        <w:rPr>
          <w:color w:val="555555"/>
        </w:rPr>
        <w:t>Concentration Power</w:t>
      </w:r>
    </w:p>
    <w:tbl>
      <w:tblPr>
        <w:tblW w:type="auto" w:w="0"/>
        <w:tblLayout w:type="fixed"/>
        <w:tblLook w:firstColumn="1" w:firstRow="1" w:lastColumn="0" w:lastRow="0" w:noHBand="0" w:noVBand="1" w:val="04A0"/>
      </w:tblPr>
      <w:tblGrid>
        <w:gridCol w:w="7353"/>
        <w:gridCol w:w="7353"/>
      </w:tblGrid>
      <w:tr>
        <w:tc>
          <w:tcPr>
            <w:tcW w:type="dxa" w:w="7353"/>
          </w:tcPr>
          <w:p>
            <w:r>
              <w:t>Como você se lembra, o ritmo dos rótulos fomenta a concentração. Mas há outras maneiras pelas quais a concentração pode ser exercitada. Uma maneira é trabalhar em um alcance de foco restrito. Digamos, por exemplo, que você decida focar apenas na experiência corporal por um tempo. No início, você pode se ver puxado para longe do seu corpo repetidas vezes. Cada vez que você for puxado para uma imagem, um som, ou um pensamento, traga gentilmente a sua atenção de volta ao corpo. Trabalhar contra a força da distração dessa forma é análogo a levantar pesos. Cada repetição constrói o músculo da concentração.</w:t>
            </w:r>
          </w:p>
        </w:tc>
        <w:tc>
          <w:tcPr>
            <w:tcW w:type="dxa" w:w="7353"/>
          </w:tcPr>
          <w:p>
            <w:r>
              <w:rPr>
                <w:color w:val="555555"/>
              </w:rPr>
              <w:t>As you recall, the pacing of the labels fosters concentration. But there are other ways in which concentration can be exercised. One way is to work in a restricted focus range. Say, for example, that you decide to focus only on body experience for a while. Initially you may find yourself pulled away from your body again and again. Each time you get pulled away into sight, sound, or thought, gently bring your attention back to your body. Working against the force of distraction in this way is analogous to lifting weights. Each rep builds concentration muscle.</w:t>
            </w:r>
          </w:p>
        </w:tc>
      </w:tr>
      <w:tr>
        <w:tc>
          <w:tcPr>
            <w:tcW w:type="dxa" w:w="7353"/>
          </w:tcPr>
          <w:p>
            <w:r>
              <w:t>Outra maneira de turbinar a concentração é adotar uma postura intencionalmente ativa, ou intencionalmente passiva, durante a fase de foco de cada nota. Lembre-se de que um período de prática do notar normalmente consiste em uma sequência: reconhecer, focar, reconhecer, focar, reconhecer, focar…. Lembre-se também de que nos referimos às duas partes dessa sequência como a fase de reconhecimento e a fase de foco (embora, na prática, às vezes não haja uma fronteira clara entre as duas fases).</w:t>
            </w:r>
          </w:p>
        </w:tc>
        <w:tc>
          <w:tcPr>
            <w:tcW w:type="dxa" w:w="7353"/>
          </w:tcPr>
          <w:p>
            <w:r>
              <w:rPr>
                <w:color w:val="555555"/>
              </w:rPr>
              <w:t>Another way to rev up concentration is to adopt an intentionally active or an intentionally passive stance during the focus phase of each note. Recall that a period of noting practice typically consists of a sequence: acknowledge, focus, acknowledge, focus, acknowledge, focus…. Recall also that we have referred to the two parts of that sequence as the acknowledging phase and the focus phase (although in practice there’s sometimes no clear boundary between the two phases).</w:t>
            </w:r>
          </w:p>
        </w:tc>
      </w:tr>
      <w:tr>
        <w:tc>
          <w:tcPr>
            <w:tcW w:type="dxa" w:w="7353"/>
          </w:tcPr>
          <w:p>
            <w:r>
              <w:t>Usaremos o termo postura de foco para nos referirmos a se você assume um papel mais ativo ou mais passivo durante a fase de foco. Há um espectro de posturas de foco válidas e potencialmente úteis. No lado mais passivo, você meio que deixa cada evento sensorial focar você, atraindo-o para um fascínio intrínseco. (Isso funciona particularmente bem para a família do Focar Fora.) No lado mais ativo, você pode lançar fortemente a sua atenção sobre cada evento sensorial, tentando “penetrá-lo”. Entre esses extremos, vem um voltar-se fácil e intencional da consciência em direção à experiência. Qualquer uma dessas escolhas de postura pode ajudar você a aprofundar a sua concentração.</w:t>
            </w:r>
          </w:p>
        </w:tc>
        <w:tc>
          <w:tcPr>
            <w:tcW w:type="dxa" w:w="7353"/>
          </w:tcPr>
          <w:p>
            <w:r>
              <w:rPr>
                <w:color w:val="555555"/>
              </w:rPr>
              <w:t>We’ll use the term focus stance to refer to whether you take a more active or a more passive role during the focus phase. There’s a spectrum of valid and potentially useful focus stances. On the most passive side, you sort of let each sensory event focus you, pulling you into intrinsic fascination. (This works particularly well for the Focus Out family.) On the most active side, you can strongly thrust your attention into each sense event, attempting to “penetrate” it. In between these extremes comes an easy, intentional turning of awareness towards the experience. Any of these stance choices may help you deepen your concentration.</w:t>
            </w:r>
          </w:p>
        </w:tc>
      </w:tr>
      <w:tr>
        <w:tc>
          <w:tcPr>
            <w:tcW w:type="dxa" w:w="7353"/>
          </w:tcPr>
          <w:p>
            <w:r>
              <w:t>Digamos que você decidiu focar na emoção corporal por um tempo e que decidiu empregar uma postura de foco ativa e “penetrativa”. Digamos também que você decidiu usar rótulos falados. Nesse caso, você estaria desenvolvendo o poder de concentração de três maneiras distintas. O ritmo dos rótulos desenvolveria o seu nível básico de concentração. Mas você também restringiu significativamente o seu alcance de foco e implementou uma postura de foco específica. Essas duas decisões “aumentariam a aposta” ao exigir mais de você do que o mínimo.</w:t>
            </w:r>
          </w:p>
        </w:tc>
        <w:tc>
          <w:tcPr>
            <w:tcW w:type="dxa" w:w="7353"/>
          </w:tcPr>
          <w:p>
            <w:r>
              <w:rPr>
                <w:color w:val="555555"/>
              </w:rPr>
              <w:t>Say that you’ve decided to focus on body emotion for a while and that you’ve decided to employ an active, “penetrative” focus stance. Say also that you’ve decided to use spoken labels. In this case you would be developing concentration power in three distinct ways. The pacing of the labels would develop your basic level of concentration. But you’ve also significantly restricted your focus range and implemented a specific focus stance. Those two decisions would “up the ante” by requiring more of yourself than the minimum.</w:t>
            </w:r>
          </w:p>
        </w:tc>
      </w:tr>
    </w:tbl>
    <w:p>
      <w:pPr>
        <w:pStyle w:val="Heading2"/>
      </w:pPr>
      <w:r>
        <w:t>Clareza Sensorial</w:t>
      </w:r>
    </w:p>
    <w:p>
      <w:pPr/>
      <w:r>
        <w:rPr>
          <w:color w:val="555555"/>
        </w:rPr>
        <w:t>Sensory Clarity</w:t>
      </w:r>
    </w:p>
    <w:tbl>
      <w:tblPr>
        <w:tblW w:type="auto" w:w="0"/>
        <w:tblLayout w:type="fixed"/>
        <w:tblLook w:firstColumn="1" w:firstRow="1" w:lastColumn="0" w:lastRow="0" w:noHBand="0" w:noVBand="1" w:val="04A0"/>
      </w:tblPr>
      <w:tblGrid>
        <w:gridCol w:w="7353"/>
        <w:gridCol w:w="7353"/>
      </w:tblGrid>
      <w:tr>
        <w:tc>
          <w:tcPr>
            <w:tcW w:type="dxa" w:w="7353"/>
          </w:tcPr>
          <w:p>
            <w:r>
              <w:t>A única coisa sobre a qual você sempre precisa ter clareza é qual modal, ou quais modais, você está focando em um dado momento. Mas é possível – aliás, provável – que você esteja ciente de muito mais informação do que apenas isso. Digamos, por exemplo, que o seu alcance de foco seja irrestrito e que você esteja fazendo rótulos mentais com ênfase exclusiva. Um pensamento visual surge e você o rotula como Ver. Isso lhe dá uma clareza básica, porque você está ciente de que está focando em um evento visual. Mas você provavelmente também estará ciente de muito mais detalhes do que isso. Sem necessariamente pensar a respeito, você provavelmente estará ciente da localização espacial daquela imagem e de se ela está estável ou fluindo. Você provavelmente também estará ciente de que tipo de imagem ela é – uma pessoa, um lugar, um objeto físico, um símbolo…. E você pode até detectar o instante em que ela desaparece.</w:t>
            </w:r>
          </w:p>
        </w:tc>
        <w:tc>
          <w:tcPr>
            <w:tcW w:type="dxa" w:w="7353"/>
          </w:tcPr>
          <w:p>
            <w:r>
              <w:rPr>
                <w:color w:val="555555"/>
              </w:rPr>
              <w:t>The only thing you’re always required to be clear about is which modality or modalities you’re focusing on at a given moment. But it’s possible – indeed probable – that you’ll be aware of much more information than just that. Say, for example, that your focus range is unrestricted and you’re doing mental labels with exclusive emphasis. A visual thought arises and you label it See. This gives you basic clarity because you’re aware that you’re focusing on a visual event. But you’ll probably also be aware of much more detail than that. Without necessarily thinking about it, you’ll probably be aware of the spatial location of that image and whether it’s stable or flowing. You’ll probably also be aware of what kind of image it is – a person, a place, a physical object, a symbol…. And you may even detect the instant when it vanishes.</w:t>
            </w:r>
          </w:p>
        </w:tc>
      </w:tr>
      <w:tr>
        <w:tc>
          <w:tcPr>
            <w:tcW w:type="dxa" w:w="7353"/>
          </w:tcPr>
          <w:p>
            <w:r>
              <w:t>Digamos que a imagem desaparece e a próxima coisa que surge é uma sensação corporal. Você a nota como Sentir. Esse rótulo lhe dá uma clareza básica mas, mais uma vez, sem pensar ou analisar intencionalmente, você provavelmente estará ciente do seu tamanho, formato, localização e qualidades intrínsecas – coceira, pressão, medo, alegria, calor, frio, etc.</w:t>
            </w:r>
          </w:p>
        </w:tc>
        <w:tc>
          <w:tcPr>
            <w:tcW w:type="dxa" w:w="7353"/>
          </w:tcPr>
          <w:p>
            <w:r>
              <w:rPr>
                <w:color w:val="555555"/>
              </w:rPr>
              <w:t>Say the image vanishes and the next thing that arises is a body sensation. You note it as Feel. This label gives you basic clarity but, once again, without intentionally thinking or analyzing, you’ll probably be aware of its size, shape, location, and intrinsic qualities – itchiness, pressure, fear, joy, heat, cold, etc.</w:t>
            </w:r>
          </w:p>
        </w:tc>
      </w:tr>
      <w:tr>
        <w:tc>
          <w:tcPr>
            <w:tcW w:type="dxa" w:w="7353"/>
          </w:tcPr>
          <w:p>
            <w:r>
              <w:t>Ter clareza sobre esse tipo de detalhe, interessar-se por ele, até procurá-lo intencionalmente … tudo isso é permitido, mas nada disso é exigido.</w:t>
            </w:r>
          </w:p>
        </w:tc>
        <w:tc>
          <w:tcPr>
            <w:tcW w:type="dxa" w:w="7353"/>
          </w:tcPr>
          <w:p>
            <w:r>
              <w:rPr>
                <w:color w:val="555555"/>
              </w:rPr>
              <w:t>Being clear about such detail, getting interested in it, even intentionally looking for it … all of these are allowed, but none of them is required.</w:t>
            </w:r>
          </w:p>
        </w:tc>
      </w:tr>
      <w:tr>
        <w:tc>
          <w:tcPr>
            <w:tcW w:type="dxa" w:w="7353"/>
          </w:tcPr>
          <w:p>
            <w:r>
              <w:t>Em geral, há dois temas contrastantes, mas igualmente fortalecedores, que podem surgir espontaneamente enquanto você pratica Ver Ouvir Sentir. Redefinindo dois termos técnicos de Jung (e Leibnitz ☺), os dois temas são:</w:t>
            </w:r>
          </w:p>
        </w:tc>
        <w:tc>
          <w:tcPr>
            <w:tcW w:type="dxa" w:w="7353"/>
          </w:tcPr>
          <w:p>
            <w:r>
              <w:rPr>
                <w:color w:val="555555"/>
              </w:rPr>
              <w:t>In general there are two contrasting, but equally empowering, themes that may come up spontaneously as you do See Hear Feel. Redefining two technical terms from Jung (and Leibnitz ☺), the two themes are:</w:t>
            </w:r>
          </w:p>
        </w:tc>
      </w:tr>
    </w:tbl>
    <w:p>
      <w:pPr>
        <w:pStyle w:val="Heading2"/>
      </w:pPr>
      <w:r>
        <w:t>Diferenciação e Integração</w:t>
      </w:r>
    </w:p>
    <w:p>
      <w:pPr/>
      <w:r>
        <w:rPr>
          <w:color w:val="555555"/>
        </w:rPr>
        <w:t>Differentiation and Integration</w:t>
      </w:r>
    </w:p>
    <w:tbl>
      <w:tblPr>
        <w:tblW w:type="auto" w:w="0"/>
        <w:tblLayout w:type="fixed"/>
        <w:tblLook w:firstColumn="1" w:firstRow="1" w:lastColumn="0" w:lastRow="0" w:noHBand="0" w:noVBand="1" w:val="04A0"/>
      </w:tblPr>
      <w:tblGrid>
        <w:gridCol w:w="7353"/>
        <w:gridCol w:w="7353"/>
      </w:tblGrid>
      <w:tr>
        <w:tc>
          <w:tcPr>
            <w:tcW w:type="dxa" w:w="7353"/>
          </w:tcPr>
          <w:p>
            <w:r>
              <w:t>Dentro do contexto do nosso trabalho, diferenciação significa fazer distinções cada vez mais finas. Integração significa encontrar uma unidade cada vez mais profunda. Ambas são aspectos da clareza. Embora possam parecer opostas, elas são, na verdade, parte do mesmo processo. Subdividir leva você até os pixels vibrantes que são a substância universal de cada evento sensorial. O sensório inteiro se integra em um arabesco de energia: rico, gratificante, fortalecedor e insubstancial. Contra esse fundo uniforme, distinções cada vez mais finas podem ser detectadas, as quais, por sua vez, se dissolvem em um flow unificador ainda mais profundo.</w:t>
            </w:r>
          </w:p>
        </w:tc>
        <w:tc>
          <w:tcPr>
            <w:tcW w:type="dxa" w:w="7353"/>
          </w:tcPr>
          <w:p>
            <w:r>
              <w:rPr>
                <w:color w:val="555555"/>
              </w:rPr>
              <w:t>Within the context of our work, differentiation means making finer and finer distinctions. Integration means finding deeper and deeper unity. Both are aspects of clarity. Although they may seem opposite they’re actually part of the same process. Subdividing gets you down to the vibrating pixels that are the universal substance of each sensory event. The whole sensorium integrates into an arabesque of energy: rich, fulfilling, empowering, and insubstantial. Against that uniform background, finer and finer distinctions can be detected which in turn break up into an even deeper unifying flow.</w:t>
            </w:r>
          </w:p>
        </w:tc>
      </w:tr>
      <w:tr>
        <w:tc>
          <w:tcPr>
            <w:tcW w:type="dxa" w:w="7353"/>
          </w:tcPr>
          <w:p>
            <w:r>
              <w:t>Então, enquanto você nota, pode ser atraído ao interesse pelo detalhe do conteúdo sensorial. Se for o caso, tudo bem. Por outro lado, você pode perder o interesse pelos detalhes do conteúdo e ficar fascinado com o contorno geral. Isso também está bem. As peças separadas recuam para o fundo. O envelope de energia ocupa o primeiro plano. Ou: nenhum desses temas chama; você está apenas acompanhando os modais conforme as instruções. Qualquer um desses cenários representa praticar a técnica perfeitamente.</w:t>
            </w:r>
          </w:p>
        </w:tc>
        <w:tc>
          <w:tcPr>
            <w:tcW w:type="dxa" w:w="7353"/>
          </w:tcPr>
          <w:p>
            <w:r>
              <w:rPr>
                <w:color w:val="555555"/>
              </w:rPr>
              <w:t>So as you note you may be drawn to interest in detail of the sensory content. If so, fine. On the other hand, you may lose interest in details of content and get fascinated with the overall contour. That’s fine too. The separate pieces recede into the background. The envelope of energy occupies the foreground. Or: neither of those themes may call; you’re just tracking the modalities as per the instructions. Any of these scenarios represent doing the technique perfectly.</w:t>
            </w:r>
          </w:p>
        </w:tc>
      </w:tr>
    </w:tbl>
    <w:p>
      <w:pPr>
        <w:pStyle w:val="Heading2"/>
      </w:pPr>
      <w:r>
        <w:t>Equanimidade</w:t>
      </w:r>
    </w:p>
    <w:p>
      <w:pPr/>
      <w:r>
        <w:rPr>
          <w:color w:val="555555"/>
        </w:rPr>
        <w:t>Equanimity</w:t>
      </w:r>
    </w:p>
    <w:tbl>
      <w:tblPr>
        <w:tblW w:type="auto" w:w="0"/>
        <w:tblLayout w:type="fixed"/>
        <w:tblLook w:firstColumn="1" w:firstRow="1" w:lastColumn="0" w:lastRow="0" w:noHBand="0" w:noVBand="1" w:val="04A0"/>
      </w:tblPr>
      <w:tblGrid>
        <w:gridCol w:w="7353"/>
        <w:gridCol w:w="7353"/>
      </w:tblGrid>
      <w:tr>
        <w:tc>
          <w:tcPr>
            <w:tcW w:type="dxa" w:w="7353"/>
          </w:tcPr>
          <w:p>
            <w:r>
              <w:t>A equanimidade básica é garantida pela voz de rotulação equânime e acolhedora. Além disso, você pode descobrir que manter um relaxamento contínuo (e, idealmente, do corpo inteiro) também ajuda a aprofundar a equanimidade. Além disso, algumas pessoas acham útil criar intencionalmente uma atitude acolhedora em relação a cada surgimento, ou infundir cada surgimento com Bondade Amorosa</w:t>
            </w:r>
            <w:r>
              <w:rPr>
                <w:rStyle w:val="FootnoteReference"/>
                <w:vertAlign w:val="superscript"/>
              </w:rPr>
              <w:footnoteReference w:id="1"/>
            </w:r>
            <w:r>
              <w:t>.</w:t>
            </w:r>
          </w:p>
        </w:tc>
        <w:tc>
          <w:tcPr>
            <w:tcW w:type="dxa" w:w="7353"/>
          </w:tcPr>
          <w:p>
            <w:r>
              <w:rPr>
                <w:color w:val="555555"/>
              </w:rPr>
              <w:t>Basic equanimity is guaranteed by the equanimous (ee-quá-ni-mus), welcoming labeling voice. Beyond that you may find that maintaining continuous (and, ideally, whole body) relaxation also helps deepen equanimity. Also some people find it useful to intentionally create a welcoming attitude towards each arising, or to infuse each arising with Loving Kindness.</w:t>
            </w:r>
          </w:p>
        </w:tc>
      </w:tr>
      <w:tr>
        <w:tc>
          <w:tcPr>
            <w:tcW w:type="dxa" w:w="7353"/>
          </w:tcPr>
          <w:p>
            <w:r>
              <w:t>Quanto à equanimidade, o mais importante a lembrar é o seguinte: o treinamento mais profundo da equanimidade não vem das coisas que você faz para criá-la, mas de notar claramente quando você cai nela espontaneamente. Essa é uma das razões pelas quais é bom fazer treinamento de duração e retiros. É um jogo de números. Quanto mais longo o período de prática, mais provável que você acabe caindo na equanimidade.</w:t>
            </w:r>
          </w:p>
        </w:tc>
        <w:tc>
          <w:tcPr>
            <w:tcW w:type="dxa" w:w="7353"/>
          </w:tcPr>
          <w:p>
            <w:r>
              <w:rPr>
                <w:color w:val="555555"/>
              </w:rPr>
              <w:t>Regarding equanimity, the most important thing to remember is this: the deepest training of equanimity comes not through things you do to create it, but from clearly noticing when you spontaneously drop into it. That’s one of the reasons why it’s good to do duration training and retreats. It’s a numbers game. The longer the practice period, the more likely you’ll eventually fall into equanimity.</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Com a técnica Ver Ouvir Sentir, como você pode ter certeza de que está praticando a técnica corretamente?</w:t>
            </w:r>
          </w:p>
        </w:tc>
        <w:tc>
          <w:tcPr>
            <w:tcW w:type="dxa" w:w="7353"/>
          </w:tcPr>
          <w:p>
            <w:r>
              <w:rPr>
                <w:color w:val="555555"/>
              </w:rPr>
              <w:t>1. With the See Hear Feel technique, how can you be sure that you’re doing the technique properly?</w:t>
            </w:r>
          </w:p>
        </w:tc>
      </w:tr>
      <w:tr>
        <w:tc>
          <w:tcPr>
            <w:tcW w:type="dxa" w:w="7353"/>
          </w:tcPr>
          <w:p>
            <w:r>
              <w:t>2. Verdadeiro ou falso: A maneira correta de notar é com a Consciência Direta. Os rótulos não passam de rodinhas de bicicleta.</w:t>
            </w:r>
          </w:p>
        </w:tc>
        <w:tc>
          <w:tcPr>
            <w:tcW w:type="dxa" w:w="7353"/>
          </w:tcPr>
          <w:p>
            <w:r>
              <w:rPr>
                <w:color w:val="555555"/>
              </w:rPr>
              <w:t>2. True or false: The proper way to note is with Direct Awareness. Labels are no more than training wheels.</w:t>
            </w:r>
          </w:p>
        </w:tc>
      </w:tr>
      <w:tr>
        <w:tc>
          <w:tcPr>
            <w:tcW w:type="dxa" w:w="7353"/>
          </w:tcPr>
          <w:p>
            <w:r>
              <w:t>3. Além do ritmo dos rótulos, cite uma outra maneira de desenvolver o poder de concentração. (Pontos extras se você conseguir citar duas.)</w:t>
            </w:r>
          </w:p>
        </w:tc>
        <w:tc>
          <w:tcPr>
            <w:tcW w:type="dxa" w:w="7353"/>
          </w:tcPr>
          <w:p>
            <w:r>
              <w:rPr>
                <w:color w:val="555555"/>
              </w:rPr>
              <w:t>3. In addition to the pacing of the labels, name one other way to develop concentration power. (Extra points if you can name two.)</w:t>
            </w:r>
          </w:p>
        </w:tc>
      </w:tr>
      <w:tr>
        <w:tc>
          <w:tcPr>
            <w:tcW w:type="dxa" w:w="7353"/>
          </w:tcPr>
          <w:p>
            <w:r>
              <w:t>4. Além do tom de voz, cite uma outra maneira de desenvolver a equanimidade. (Pontos extras se você conseguir citar duas ou três.)</w:t>
            </w:r>
          </w:p>
        </w:tc>
        <w:tc>
          <w:tcPr>
            <w:tcW w:type="dxa" w:w="7353"/>
          </w:tcPr>
          <w:p>
            <w:r>
              <w:rPr>
                <w:color w:val="555555"/>
              </w:rPr>
              <w:t>4. In addition to the voice tone, name one other way to develop equanimity. (Extra points if you can name two or three.)</w:t>
            </w:r>
          </w:p>
        </w:tc>
      </w:tr>
      <w:tr>
        <w:tc>
          <w:tcPr>
            <w:tcW w:type="dxa" w:w="7353"/>
          </w:tcPr>
          <w:p>
            <w:r>
              <w:t>5. Qual é o mecanismo mais importante pelo qual a equanimidade é aprendida?</w:t>
            </w:r>
          </w:p>
        </w:tc>
        <w:tc>
          <w:tcPr>
            <w:tcW w:type="dxa" w:w="7353"/>
          </w:tcPr>
          <w:p>
            <w:r>
              <w:rPr>
                <w:color w:val="555555"/>
              </w:rPr>
              <w:t>5. What is the most important mechanism by which equanimity is learned?</w:t>
            </w:r>
          </w:p>
        </w:tc>
      </w:tr>
      <w:tr>
        <w:tc>
          <w:tcPr>
            <w:tcW w:type="dxa" w:w="7353"/>
          </w:tcPr>
          <w:p>
            <w:r>
              <w:t>6. Enquanto você nota, pode ficar fascinado com o tema do detalhe e da distinção. Ou pode ficar desinteressado pelo detalhe e pela distinção e, em vez disso, fascinado pela integração e pela unidade. Ou pode não ser particularmente atraído por nenhum desses temas – você está apenas acompanhando os modais conforme as instruções. Alguma dessas possibilidades é preferível em relação às outras?</w:t>
            </w:r>
          </w:p>
        </w:tc>
        <w:tc>
          <w:tcPr>
            <w:tcW w:type="dxa" w:w="7353"/>
          </w:tcPr>
          <w:p>
            <w:r>
              <w:rPr>
                <w:color w:val="555555"/>
              </w:rPr>
              <w:t>6. As you note you might get fascinated with the theme of detail and distinction. Or you might become disinterested in detail and distinction and instead get fascinated with integration and unity. Or you might not be particularly drawn to either of these themes – you’re just tracking the modalities as per the instructions. Is one of these possibilities preferable relative to the others?</w:t>
            </w:r>
          </w:p>
        </w:tc>
      </w:tr>
      <w:tr>
        <w:tc>
          <w:tcPr>
            <w:tcW w:type="dxa" w:w="7353"/>
          </w:tcPr>
          <w:p>
            <w:r>
              <w:t>7. O que se quer dizer com postura de foco?</w:t>
            </w:r>
          </w:p>
        </w:tc>
        <w:tc>
          <w:tcPr>
            <w:tcW w:type="dxa" w:w="7353"/>
          </w:tcPr>
          <w:p>
            <w:r>
              <w:rPr>
                <w:color w:val="555555"/>
              </w:rPr>
              <w:t>7. What is meant by focus stance?</w:t>
            </w:r>
          </w:p>
        </w:tc>
      </w:tr>
      <w:tr>
        <w:tc>
          <w:tcPr>
            <w:tcW w:type="dxa" w:w="7353"/>
          </w:tcPr>
          <w:p>
            <w:r>
              <w:t>8. Dê um exemplo de uma postura de foco ativa.</w:t>
            </w:r>
          </w:p>
        </w:tc>
        <w:tc>
          <w:tcPr>
            <w:tcW w:type="dxa" w:w="7353"/>
          </w:tcPr>
          <w:p>
            <w:r>
              <w:rPr>
                <w:color w:val="555555"/>
              </w:rPr>
              <w:t>8. Give an example of an active focus stance.</w:t>
            </w:r>
          </w:p>
        </w:tc>
      </w:tr>
      <w:tr>
        <w:tc>
          <w:tcPr>
            <w:tcW w:type="dxa" w:w="7353"/>
          </w:tcPr>
          <w:p>
            <w:r>
              <w:t>9. Dê um exemplo de uma postura de foco passiva.</w:t>
            </w:r>
          </w:p>
        </w:tc>
        <w:tc>
          <w:tcPr>
            <w:tcW w:type="dxa" w:w="7353"/>
          </w:tcPr>
          <w:p>
            <w:r>
              <w:rPr>
                <w:color w:val="555555"/>
              </w:rPr>
              <w:t>9. Give an example of a passive focus stance.</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Use rótulos mentais ou falados com um ritmo confortável e um tom de voz equânime. O ritmo garante uma continuidade de concentração. O tom neutro, sem drama, garante um nível básico de equanimidade. A escolha das palavras garante que você terá clareza sobre qual modal sensorial está focando naquele momento.</w:t>
            </w:r>
          </w:p>
        </w:tc>
        <w:tc>
          <w:tcPr>
            <w:tcW w:type="dxa" w:w="7353"/>
          </w:tcPr>
          <w:p>
            <w:r>
              <w:rPr>
                <w:color w:val="555555"/>
              </w:rPr>
              <w:t>1. Use mental or spoken labels with a comfortable pace and an equanimity voice tone. The pacing guarantees a continuity of concentration. The matter-of-fact tone guarantees a base level of equanimity. The wording guarantees that you’ll be clear about which sensory modality you’re focusing on at that moment.</w:t>
            </w:r>
          </w:p>
        </w:tc>
      </w:tr>
      <w:tr>
        <w:tc>
          <w:tcPr>
            <w:tcW w:type="dxa" w:w="7353"/>
          </w:tcPr>
          <w:p>
            <w:r>
              <w:t>2. Falso.</w:t>
            </w:r>
          </w:p>
        </w:tc>
        <w:tc>
          <w:tcPr>
            <w:tcW w:type="dxa" w:w="7353"/>
          </w:tcPr>
          <w:p>
            <w:r>
              <w:rPr>
                <w:color w:val="555555"/>
              </w:rPr>
              <w:t>2. False.</w:t>
            </w:r>
          </w:p>
        </w:tc>
      </w:tr>
      <w:tr>
        <w:tc>
          <w:tcPr>
            <w:tcW w:type="dxa" w:w="7353"/>
          </w:tcPr>
          <w:p>
            <w:r>
              <w:t>3.</w:t>
            </w:r>
          </w:p>
        </w:tc>
        <w:tc>
          <w:tcPr>
            <w:tcW w:type="dxa" w:w="7353"/>
          </w:tcPr>
          <w:p>
            <w:r>
              <w:rPr>
                <w:color w:val="555555"/>
              </w:rPr>
              <w:t>3.</w:t>
            </w:r>
          </w:p>
        </w:tc>
      </w:tr>
      <w:tr>
        <w:tc>
          <w:tcPr>
            <w:tcW w:type="dxa" w:w="7353"/>
          </w:tcPr>
          <w:p>
            <w:r>
              <w:t>• Restringir o seu alcance de foco.</w:t>
            </w:r>
          </w:p>
        </w:tc>
        <w:tc>
          <w:tcPr>
            <w:tcW w:type="dxa" w:w="7353"/>
          </w:tcPr>
          <w:p>
            <w:r>
              <w:rPr>
                <w:color w:val="555555"/>
              </w:rPr>
              <w:t>• Restrict your focus range.</w:t>
            </w:r>
          </w:p>
        </w:tc>
      </w:tr>
      <w:tr>
        <w:tc>
          <w:tcPr>
            <w:tcW w:type="dxa" w:w="7353"/>
          </w:tcPr>
          <w:p>
            <w:r>
              <w:t>• Estabelecer uma postura de foco bem definida (pode ser intencionalmente ativa, intencionalmente passiva, ou algo intermediário).</w:t>
            </w:r>
          </w:p>
        </w:tc>
        <w:tc>
          <w:tcPr>
            <w:tcW w:type="dxa" w:w="7353"/>
          </w:tcPr>
          <w:p>
            <w:r>
              <w:rPr>
                <w:color w:val="555555"/>
              </w:rPr>
              <w:t>• Establish a well-defined focus stance (it could be intentionally active or intentionally passive or something in-between).</w:t>
            </w:r>
          </w:p>
        </w:tc>
      </w:tr>
      <w:tr>
        <w:tc>
          <w:tcPr>
            <w:tcW w:type="dxa" w:w="7353"/>
          </w:tcPr>
          <w:p>
            <w:r>
              <w:t>4.</w:t>
            </w:r>
          </w:p>
        </w:tc>
        <w:tc>
          <w:tcPr>
            <w:tcW w:type="dxa" w:w="7353"/>
          </w:tcPr>
          <w:p>
            <w:r>
              <w:rPr>
                <w:color w:val="555555"/>
              </w:rPr>
              <w:t>4.</w:t>
            </w:r>
          </w:p>
        </w:tc>
      </w:tr>
      <w:tr>
        <w:tc>
          <w:tcPr>
            <w:tcW w:type="dxa" w:w="7353"/>
          </w:tcPr>
          <w:p>
            <w:r>
              <w:t>• Estabelecer e manter o relaxamento (se possível, sobre a maior parte do corpo que você conseguir).</w:t>
            </w:r>
          </w:p>
        </w:tc>
        <w:tc>
          <w:tcPr>
            <w:tcW w:type="dxa" w:w="7353"/>
          </w:tcPr>
          <w:p>
            <w:r>
              <w:rPr>
                <w:color w:val="555555"/>
              </w:rPr>
              <w:t>• Establish and maintain relaxation (if possible over as much of your body as you can).</w:t>
            </w:r>
          </w:p>
        </w:tc>
      </w:tr>
      <w:tr>
        <w:tc>
          <w:tcPr>
            <w:tcW w:type="dxa" w:w="7353"/>
          </w:tcPr>
          <w:p>
            <w:r>
              <w:t>• Manter uma atitude acolhedora em relação a tudo o que surgir.</w:t>
            </w:r>
          </w:p>
        </w:tc>
        <w:tc>
          <w:tcPr>
            <w:tcW w:type="dxa" w:w="7353"/>
          </w:tcPr>
          <w:p>
            <w:r>
              <w:rPr>
                <w:color w:val="555555"/>
              </w:rPr>
              <w:t>• Maintain a welcoming attitude towards whatever arises.</w:t>
            </w:r>
          </w:p>
        </w:tc>
      </w:tr>
      <w:tr>
        <w:tc>
          <w:tcPr>
            <w:tcW w:type="dxa" w:w="7353"/>
          </w:tcPr>
          <w:p>
            <w:r>
              <w:t>• Infundir bondade amorosa em tudo o que surgir.</w:t>
            </w:r>
          </w:p>
        </w:tc>
        <w:tc>
          <w:tcPr>
            <w:tcW w:type="dxa" w:w="7353"/>
          </w:tcPr>
          <w:p>
            <w:r>
              <w:rPr>
                <w:color w:val="555555"/>
              </w:rPr>
              <w:t>• Infuse loving kindness into whatever arises.</w:t>
            </w:r>
          </w:p>
        </w:tc>
      </w:tr>
      <w:tr>
        <w:tc>
          <w:tcPr>
            <w:tcW w:type="dxa" w:w="7353"/>
          </w:tcPr>
          <w:p>
            <w:r>
              <w:t>5. Notar claramente quando você cai nela espontaneamente.</w:t>
            </w:r>
          </w:p>
        </w:tc>
        <w:tc>
          <w:tcPr>
            <w:tcW w:type="dxa" w:w="7353"/>
          </w:tcPr>
          <w:p>
            <w:r>
              <w:rPr>
                <w:color w:val="555555"/>
              </w:rPr>
              <w:t>5. Clearly noticing when you spontaneously drop into it.</w:t>
            </w:r>
          </w:p>
        </w:tc>
      </w:tr>
      <w:tr>
        <w:tc>
          <w:tcPr>
            <w:tcW w:type="dxa" w:w="7353"/>
          </w:tcPr>
          <w:p>
            <w:r>
              <w:t>6. Não.</w:t>
            </w:r>
          </w:p>
        </w:tc>
        <w:tc>
          <w:tcPr>
            <w:tcW w:type="dxa" w:w="7353"/>
          </w:tcPr>
          <w:p>
            <w:r>
              <w:rPr>
                <w:color w:val="555555"/>
              </w:rPr>
              <w:t>6. No.</w:t>
            </w:r>
          </w:p>
        </w:tc>
      </w:tr>
      <w:tr>
        <w:tc>
          <w:tcPr>
            <w:tcW w:type="dxa" w:w="7353"/>
          </w:tcPr>
          <w:p>
            <w:r>
              <w:t>7. A atitude que você adota durante a fase de foco de cada ato de notar. Pode envolver aspectos ativos, aspectos passivos, ou ambos.</w:t>
            </w:r>
          </w:p>
        </w:tc>
        <w:tc>
          <w:tcPr>
            <w:tcW w:type="dxa" w:w="7353"/>
          </w:tcPr>
          <w:p>
            <w:r>
              <w:rPr>
                <w:color w:val="555555"/>
              </w:rPr>
              <w:t>7. The attitude you take during the focus phase of each act of noting. It could involve active aspects, passive aspects, or both.</w:t>
            </w:r>
          </w:p>
        </w:tc>
      </w:tr>
      <w:tr>
        <w:tc>
          <w:tcPr>
            <w:tcW w:type="dxa" w:w="7353"/>
          </w:tcPr>
          <w:p>
            <w:r>
              <w:t>8.</w:t>
            </w:r>
          </w:p>
        </w:tc>
        <w:tc>
          <w:tcPr>
            <w:tcW w:type="dxa" w:w="7353"/>
          </w:tcPr>
          <w:p>
            <w:r>
              <w:rPr>
                <w:color w:val="555555"/>
              </w:rPr>
              <w:t>8.</w:t>
            </w:r>
          </w:p>
        </w:tc>
      </w:tr>
      <w:tr>
        <w:tc>
          <w:tcPr>
            <w:tcW w:type="dxa" w:w="7353"/>
          </w:tcPr>
          <w:p>
            <w:r>
              <w:t>• Criar intencionalmente uma experiência sensorial e então focar nela (por exemplo, durante a técnica Nutrir o Positivo).</w:t>
            </w:r>
          </w:p>
        </w:tc>
        <w:tc>
          <w:tcPr>
            <w:tcW w:type="dxa" w:w="7353"/>
          </w:tcPr>
          <w:p>
            <w:r>
              <w:rPr>
                <w:color w:val="555555"/>
              </w:rPr>
              <w:t>• Intentionally creating a sensory experience then focus on it (for example, during the Nurture Positive technique).</w:t>
            </w:r>
          </w:p>
        </w:tc>
      </w:tr>
      <w:tr>
        <w:tc>
          <w:tcPr>
            <w:tcW w:type="dxa" w:w="7353"/>
          </w:tcPr>
          <w:p>
            <w:r>
              <w:t>• “Penetração”: despejar a consciência sobre, ou lançar a consciência em direção à, coisa que você está notando.</w:t>
            </w:r>
          </w:p>
        </w:tc>
        <w:tc>
          <w:tcPr>
            <w:tcW w:type="dxa" w:w="7353"/>
          </w:tcPr>
          <w:p>
            <w:r>
              <w:rPr>
                <w:color w:val="555555"/>
              </w:rPr>
              <w:t>• “Penetration”: pouring awareness into or thrusting awareness towards the thing you are noting.</w:t>
            </w:r>
          </w:p>
        </w:tc>
      </w:tr>
      <w:tr>
        <w:tc>
          <w:tcPr>
            <w:tcW w:type="dxa" w:w="7353"/>
          </w:tcPr>
          <w:p>
            <w:r>
              <w:t>9. Deixe o evento que está sendo notado focar você – isto é, deixe-se encantar por ele.</w:t>
            </w:r>
          </w:p>
        </w:tc>
        <w:tc>
          <w:tcPr>
            <w:tcW w:type="dxa" w:w="7353"/>
          </w:tcPr>
          <w:p>
            <w:r>
              <w:rPr>
                <w:color w:val="555555"/>
              </w:rPr>
              <w:t>9. Let the event being noted focus you – i.e., let yourself be enchanted by it.</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rPr>
          <w:sz w:val="18"/>
        </w:rPr>
        <w:t xml:space="preserve"> [N.T.] Bondade Amorosa (Loving Kindness) traduz o termo páli metta. Neste contexto contemplativo, metta também é descrito como friendliness — amizade: uma atitude amistosa e acolhedora diante de cada experiência que surge.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