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Não Consigo Aprofundar</w:t>
      </w:r>
    </w:p>
    <w:p>
      <w:pPr/>
      <w:r>
        <w:rPr>
          <w:color w:val="555555"/>
        </w:rPr>
        <w:t>Can’t Go Deep</w:t>
      </w:r>
    </w:p>
    <w:tbl>
      <w:tblPr>
        <w:tblW w:type="auto" w:w="0"/>
        <w:tblLayout w:type="fixed"/>
        <w:tblLook w:firstColumn="1" w:firstRow="1" w:lastColumn="0" w:lastRow="0" w:noHBand="0" w:noVBand="1" w:val="04A0"/>
      </w:tblPr>
      <w:tblGrid>
        <w:gridCol w:w="7353"/>
        <w:gridCol w:w="7353"/>
      </w:tblGrid>
      <w:tr>
        <w:tc>
          <w:tcPr>
            <w:tcW w:type="dxa" w:w="7353"/>
          </w:tcPr>
          <w:p>
            <w:r>
              <w:t>Se por “meditação” entendemos práticas sistemáticas que desenvolvem a concentração, então o mindfulness poderia ser chamado de uma forma de meditação. Mas ele certamente não se encaixa no estereótipo popular dessa palavra. Na imagem popular, meditação é algo que você faz sentado no chão, de olhos fechados, retirado do ambiente e buscando intencionalmente um estado profundo e tranquilo. É claro que o mindfulness pode ser praticado sentado e imóvel, de olhos fechados, mas também pode ser praticado enquanto você dirige o carro, ajeita coisas pela casa, mantém uma conversa, faz uma refeição, faz amor…algumas pessoas conseguem até mantê-lo no trabalho, monasticizando, na prática, o seu ambiente de trabalho.</w:t>
            </w:r>
          </w:p>
        </w:tc>
        <w:tc>
          <w:tcPr>
            <w:tcW w:type="dxa" w:w="7353"/>
          </w:tcPr>
          <w:p>
            <w:r>
              <w:rPr>
                <w:color w:val="555555"/>
              </w:rPr>
              <w:t>If by “meditation” we mean systematic practices that develop concentration, then mindfulness could be called a form of meditation. But it certainly does not conform to the popular stereotype of that word. In the popular image, meditation is something you do sitting on the floor with your eyes closed, withdrawn from the environment and intentionally seeking a deep, tranquil state. Of course, mindfulness can be practiced sitting still with eyes closed, but it can also be practiced while driving your car, puttering around the house, carrying on conversation, eating a meal, making love…some people are even able to maintain it on the job, in effect, monasticizing their workplace.</w:t>
            </w:r>
          </w:p>
        </w:tc>
      </w:tr>
      <w:tr>
        <w:tc>
          <w:tcPr>
            <w:tcW w:type="dxa" w:w="7353"/>
          </w:tcPr>
          <w:p>
            <w:r>
              <w:t>Mas e quanto àqueles estados profundos e tranquilos? Eles têm um lugar na prática de mindfulness? Com certeza. Os estados de repouso visual, auditivo e somático podem ser objetos de observação atenta. Quanto mais você os acompanha, mais claros eles ficam. Isso cria um ciclo de feedback</w:t>
            </w:r>
            <w:r>
              <w:rPr>
                <w:rStyle w:val="FootnoteReference"/>
                <w:vertAlign w:val="superscript"/>
              </w:rPr>
              <w:footnoteReference w:id="1"/>
            </w:r>
            <w:r>
              <w:t xml:space="preserve"> positivo que leva você cada vez mais fundo na tranquilidade.</w:t>
            </w:r>
          </w:p>
        </w:tc>
        <w:tc>
          <w:tcPr>
            <w:tcW w:type="dxa" w:w="7353"/>
          </w:tcPr>
          <w:p>
            <w:r>
              <w:rPr>
                <w:color w:val="555555"/>
              </w:rPr>
              <w:t>But what about those deep, tranquil states? Do they have a place in mindfulness practice? Definitely. Visual, auditory, and somatic rest states can be objects of mindful observation. The more you attend to them, the clearer they get. This creates a positive feedback loop that takes you deeper and deeper into tranquility.</w:t>
            </w:r>
          </w:p>
        </w:tc>
      </w:tr>
      <w:tr>
        <w:tc>
          <w:tcPr>
            <w:tcW w:type="dxa" w:w="7353"/>
          </w:tcPr>
          <w:p>
            <w:r>
              <w:t>Por outro lado, pessoas que praticaram principalmente formas calmantes de meditação costumam se decepcionar quando experimentam o Ver Ouvir Sentir pela primeira vez. O processo de notar – mesmo sem rótulos – pode, no início, parecer muito agitado e mais parecido com pensar do que com meditar. Na pior das hipóteses, pode parecer o oposto de meditação. Ele os impede de “ir fundo”. Eu consigo entender quem se sente assim, porque eu mesmo passei por um período desses. (Antes de aprender a notar, eu tinha praticado principalmente foco na respiração, mantra e visualização.)</w:t>
            </w:r>
          </w:p>
        </w:tc>
        <w:tc>
          <w:tcPr>
            <w:tcW w:type="dxa" w:w="7353"/>
          </w:tcPr>
          <w:p>
            <w:r>
              <w:rPr>
                <w:color w:val="555555"/>
              </w:rPr>
              <w:t>On the other hand, people who have mostly done calming forms of meditation are often disappointed when they first try See Hear Feel. The noting process – even without labels – may initially seem very busy and more akin to thinking than meditating. In the worst case scenario it may seem like the opposite of meditation. It prevents them from “going deep.” I can commiserate with this perception because I myself went through a period like that. (Before I learned to note I had mostly done breath focus, mantra, and visualization.)</w:t>
            </w:r>
          </w:p>
        </w:tc>
      </w:tr>
      <w:tr>
        <w:tc>
          <w:tcPr>
            <w:tcW w:type="dxa" w:w="7353"/>
          </w:tcPr>
          <w:p>
            <w:r>
              <w:t>Na análise budista tradicional, a “meditação” é concebida como um equilíbrio entre dois aspectos complementares: shamatha (concentração/tranquilidade) e vipashyana (observação/clareza). O objetivo final é ir fundo enquanto se mantém a clareza. Durante a fase inicial de aprendizado do Ver Ouvir Sentir, você pode não conseguir acessar os estados profundos em que normalmente entra durante a meditação. Tudo bem. É apenas parte de uma curva de aprendizado. Se você for paciente, a clareza e a profundidade acabam se encontrando. Mas, como você alcançou essa integração ao notar experiências comuns, será capaz de mantê-la mesmo enquanto realiza atividades comuns. O comum se torna absolutamente extraordinário.</w:t>
            </w:r>
          </w:p>
        </w:tc>
        <w:tc>
          <w:tcPr>
            <w:tcW w:type="dxa" w:w="7353"/>
          </w:tcPr>
          <w:p>
            <w:r>
              <w:rPr>
                <w:color w:val="555555"/>
              </w:rPr>
              <w:t>In the traditional Buddhist analysis, “meditation” is conceived of as a balance between two complimentary aspects: shamatha (concentration/tranquility) and vipashyana (observation/clarity). The ultimate goal is to go deep while staying clear. During the initial phase of learning See Hear Feel, you may not be able to access the deep states you typically enter during meditation. That’s okay. It’s just part of a learning curve. If you’re patient, clarity and depth eventually come together. But because you achieved that integration through noting ordinary experiences, you’ll be able to maintain it even while going about ordinary activities. The ordinary becomes utterly extraordinary.</w:t>
            </w:r>
          </w:p>
        </w:tc>
      </w:tr>
      <w:tr>
        <w:tc>
          <w:tcPr>
            <w:tcW w:type="dxa" w:w="7353"/>
          </w:tcPr>
          <w:p>
            <w:r>
              <w:t>Então, você pode ficar sem conseguir ir fundo por um tempo, enquanto turbina a sua clareza por meio do notar. Tudo bem. É um preço pequeno a pagar diante da recompensa de longo prazo. A recompensa de longo prazo é a capacidade de habitar no Ponto Imóvel ao longo de todas as suas idas e vindas.</w:t>
            </w:r>
          </w:p>
        </w:tc>
        <w:tc>
          <w:tcPr>
            <w:tcW w:type="dxa" w:w="7353"/>
          </w:tcPr>
          <w:p>
            <w:r>
              <w:rPr>
                <w:color w:val="555555"/>
              </w:rPr>
              <w:t>So you may be unable to go deep for a while as you rev up clarity through noting. That’s okay. It’s a small price to pay relative to the long-term reward. The long-term reward is the ability to abide at the Stillpoint throughout all your comings and going.</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Cite ao menos uma maneira pela qual a tranquilidade pode se desenvolver dentro do sistema do Mindfulness Unificado.</w:t>
            </w:r>
          </w:p>
        </w:tc>
        <w:tc>
          <w:tcPr>
            <w:tcW w:type="dxa" w:w="7353"/>
          </w:tcPr>
          <w:p>
            <w:r>
              <w:rPr>
                <w:color w:val="555555"/>
              </w:rPr>
              <w:t>1. Name at least one way that tranquility can develop within the framework of Unified Mindfulness.</w:t>
            </w:r>
          </w:p>
        </w:tc>
      </w:tr>
      <w:tr>
        <w:tc>
          <w:tcPr>
            <w:tcW w:type="dxa" w:w="7353"/>
          </w:tcPr>
          <w:p>
            <w:r>
              <w:t>2. Digamos que você está ensinando Ver Ouvir Sentir a um amigo que pratica M.T. (Meditação Transcendental) há anos. Ele acha a experiência quase o oposto do estado agradável a que está acostumado. O que você poderia dizer a título de explicação e encorajamento?</w:t>
            </w:r>
          </w:p>
        </w:tc>
        <w:tc>
          <w:tcPr>
            <w:tcW w:type="dxa" w:w="7353"/>
          </w:tcPr>
          <w:p>
            <w:r>
              <w:rPr>
                <w:color w:val="555555"/>
              </w:rPr>
              <w:t>2. Say you’re teaching See Hear Feel to a friend who has practiced T.M. for years. They find the experience almost the opposite of the nice state they’re used to. What might you say by way of explanation and encouragement?</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Faça qualquer uma, ou uma combinação, das seguintes opções: Ver Repouso, Ouvir Repouso, Sentir Repouso, Focar no Repouso.</w:t>
            </w:r>
          </w:p>
        </w:tc>
        <w:tc>
          <w:tcPr>
            <w:tcW w:type="dxa" w:w="7353"/>
          </w:tcPr>
          <w:p>
            <w:r>
              <w:rPr>
                <w:color w:val="555555"/>
              </w:rPr>
              <w:t>1. Do any one or combination of the following options: See Rest, Hear Rest, Feel Rest, Focus on Rest.</w:t>
            </w:r>
          </w:p>
        </w:tc>
      </w:tr>
      <w:tr>
        <w:tc>
          <w:tcPr>
            <w:tcW w:type="dxa" w:w="7353"/>
          </w:tcPr>
          <w:p>
            <w:r>
              <w:t>2. Durante a prática do notar, você pode, no início, achar difícil “ir fundo” na tranquilidade. Mas, se você for paciente, chegará lá de novo – e, desta vez, com uma clareza muito maior. O objetivo final da prática do notar envolve ir fundo e manter a clareza. Esse equilíbrio pode ser difícil de alcançar no começo. Mas, uma vez que você o alcança, será capaz de manter um estado profundo mesmo durante as atividades cotidianas comuns.</w:t>
            </w:r>
          </w:p>
        </w:tc>
        <w:tc>
          <w:tcPr>
            <w:tcW w:type="dxa" w:w="7353"/>
          </w:tcPr>
          <w:p>
            <w:r>
              <w:rPr>
                <w:color w:val="555555"/>
              </w:rPr>
              <w:t>2. During noting practice, you may initially find it difficult to “go deep” into tranquility. But if you’re patient you will get there again – and this time with much greater clarity. The ultimate goal of noting practice involves going deep and staying clear. This balance may be difficult to achieve at first. But once you do achieve it, you’ll be able to maintain a deep state even during ordinary daily activities.</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rPr>
          <w:sz w:val="18"/>
        </w:rPr>
        <w:t xml:space="preserve"> [N.T.] Em português, feedback também é traduzido como retroalimentação.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