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 Notar em Poucas Palavras</w:t>
      </w:r>
    </w:p>
    <w:p>
      <w:pPr/>
      <w:r>
        <w:rPr>
          <w:color w:val="555555"/>
        </w:rPr>
        <w:t>Noting In a Nutshell</w:t>
      </w:r>
    </w:p>
    <w:p>
      <w:pPr>
        <w:pStyle w:val="Heading2"/>
      </w:pPr>
      <w:r>
        <w:t>Resumo do Notar</w:t>
      </w:r>
    </w:p>
    <w:p>
      <w:pPr/>
      <w:r>
        <w:rPr>
          <w:color w:val="555555"/>
        </w:rPr>
        <w:t>Summary of Noting</w:t>
      </w:r>
    </w:p>
    <w:tbl>
      <w:tblPr>
        <w:tblW w:type="auto" w:w="0"/>
        <w:tblLayout w:type="fixed"/>
        <w:tblLook w:firstColumn="1" w:firstRow="1" w:lastColumn="0" w:lastRow="0" w:noHBand="0" w:noVBand="1" w:val="04A0"/>
      </w:tblPr>
      <w:tblGrid>
        <w:gridCol w:w="7353"/>
        <w:gridCol w:w="7353"/>
      </w:tblGrid>
      <w:tr>
        <w:tc>
          <w:tcPr>
            <w:tcW w:type="dxa" w:w="7353"/>
          </w:tcPr>
          <w:p>
            <w:r>
              <w:t>Um período de prática do notar normalmente consiste em uma sequência de atos de notar. Um ato de notar geralmente consiste em duas partes:</w:t>
            </w:r>
          </w:p>
        </w:tc>
        <w:tc>
          <w:tcPr>
            <w:tcW w:type="dxa" w:w="7353"/>
          </w:tcPr>
          <w:p>
            <w:r>
              <w:rPr>
                <w:color w:val="555555"/>
              </w:rPr>
              <w:t>A period of noting practice typically consists of a sequence of acts of noting. An act of noting usually consists of two parts:</w:t>
            </w:r>
          </w:p>
        </w:tc>
      </w:tr>
      <w:tr>
        <w:tc>
          <w:tcPr>
            <w:tcW w:type="dxa" w:w="7353"/>
          </w:tcPr>
          <w:p>
            <w:r>
              <w:t>1) Fase de reconhecimento: Um momento inicial de reconhecer.</w:t>
            </w:r>
          </w:p>
        </w:tc>
        <w:tc>
          <w:tcPr>
            <w:tcW w:type="dxa" w:w="7353"/>
          </w:tcPr>
          <w:p>
            <w:r>
              <w:rPr>
                <w:color w:val="555555"/>
              </w:rPr>
              <w:t>1) Acknowledging phase: An initial moment of acknowledging.</w:t>
            </w:r>
          </w:p>
        </w:tc>
      </w:tr>
      <w:tr>
        <w:tc>
          <w:tcPr>
            <w:tcW w:type="dxa" w:w="7353"/>
          </w:tcPr>
          <w:p>
            <w:r>
              <w:t>2) Fase de foco: Um momento de focar no que você reconheceu.</w:t>
            </w:r>
          </w:p>
        </w:tc>
        <w:tc>
          <w:tcPr>
            <w:tcW w:type="dxa" w:w="7353"/>
          </w:tcPr>
          <w:p>
            <w:r>
              <w:rPr>
                <w:color w:val="555555"/>
              </w:rPr>
              <w:t>2) Focusing phase: A moment of focusing on what you acknowledged.</w:t>
            </w:r>
          </w:p>
        </w:tc>
      </w:tr>
      <w:tr>
        <w:tc>
          <w:tcPr>
            <w:tcW w:type="dxa" w:w="7353"/>
          </w:tcPr>
          <w:p>
            <w:r>
              <w:t>Assim, o notar normalmente consiste em uma sequência: reconhecer, focar, reconhecer, focar, reconhecer, focar ….</w:t>
            </w:r>
          </w:p>
        </w:tc>
        <w:tc>
          <w:tcPr>
            <w:tcW w:type="dxa" w:w="7353"/>
          </w:tcPr>
          <w:p>
            <w:r>
              <w:rPr>
                <w:color w:val="555555"/>
              </w:rPr>
              <w:t>Thus, noting typically consists of a sequence: acknowledge, focus, acknowledge, focus, acknowledge, focus ….</w:t>
            </w:r>
          </w:p>
        </w:tc>
      </w:tr>
      <w:tr>
        <w:tc>
          <w:tcPr>
            <w:tcW w:type="dxa" w:w="7353"/>
          </w:tcPr>
          <w:p>
            <w:r>
              <w:t>Associada a cada coisa que pode ser notada há uma palavra ou frase—o seu rótulo. Ao notar algo, você tem a opção de pensar ou dizer o seu rótulo. Quando você fala os rótulos em voz alta, use intencionalmente um tom de voz baixo, gentil, neutro e sem drama, quase impessoal. Quando você pensa os rótulos, crie o mesmo tom na sua voz mental. O tom de voz ajuda a colocar você em um estado profundo. (A fórmula de duas fases dada acima pode ser útil para descrever o processo de notar: Fase 1 - Reconhecer: entrar em contato com um evento sensorial e Fase 2 - Focar: Conhecer aquele evento sensorial de uma maneira plena e amorosa. Na prática, porém, as duas fases podem se fundir em um único ato.)</w:t>
            </w:r>
          </w:p>
        </w:tc>
        <w:tc>
          <w:tcPr>
            <w:tcW w:type="dxa" w:w="7353"/>
          </w:tcPr>
          <w:p>
            <w:r>
              <w:rPr>
                <w:color w:val="555555"/>
              </w:rPr>
              <w:t>Associated with each thing that can be noted is a word or phrase—its label. As you note something, you have the option to think or say its label. When you speak the labels out loud, intentionally use a low, gentle, matter-of-fact, almost impersonal tone of voice. When you think the labels, create the same tone in your mental voice. The tone of voice helps put you in a deep state. (The two-phase formula given above can be useful for describing the process of noting: Phase 1 - Acknowledge: contact a sensory event and Phase 2 - Focus: Know that sensory event in a full and loving way. In practice, however, the two phases may merge into a single act.)</w:t>
            </w:r>
          </w:p>
        </w:tc>
      </w:tr>
      <w:tr>
        <w:tc>
          <w:tcPr>
            <w:tcW w:type="dxa" w:w="7353"/>
          </w:tcPr>
          <w:p>
            <w:r>
              <w:t>A relação entre notar, rotular e a consciência plena é a seguinte:</w:t>
            </w:r>
          </w:p>
        </w:tc>
        <w:tc>
          <w:tcPr>
            <w:tcW w:type="dxa" w:w="7353"/>
          </w:tcPr>
          <w:p>
            <w:r>
              <w:rPr>
                <w:color w:val="555555"/>
              </w:rPr>
              <w:t>The relationship between noting, labeling, and mindful awareness is as follows:</w:t>
            </w:r>
          </w:p>
        </w:tc>
      </w:tr>
      <w:tr>
        <w:tc>
          <w:tcPr>
            <w:tcW w:type="dxa" w:w="7353"/>
          </w:tcPr>
          <w:p>
            <w:r>
              <w:t>• Rotular pode facilitar o notar.</w:t>
            </w:r>
          </w:p>
        </w:tc>
        <w:tc>
          <w:tcPr>
            <w:tcW w:type="dxa" w:w="7353"/>
          </w:tcPr>
          <w:p>
            <w:r>
              <w:rPr>
                <w:color w:val="555555"/>
              </w:rPr>
              <w:t>• Labeling can facilitate noting.</w:t>
            </w:r>
          </w:p>
        </w:tc>
      </w:tr>
      <w:tr>
        <w:tc>
          <w:tcPr>
            <w:tcW w:type="dxa" w:w="7353"/>
          </w:tcPr>
          <w:p>
            <w:r>
              <w:t>• Notar pode facilitar a consciência plena.</w:t>
            </w:r>
          </w:p>
        </w:tc>
        <w:tc>
          <w:tcPr>
            <w:tcW w:type="dxa" w:w="7353"/>
          </w:tcPr>
          <w:p>
            <w:r>
              <w:rPr>
                <w:color w:val="555555"/>
              </w:rPr>
              <w:t>• Noting can facilitate mindful awareness.</w:t>
            </w:r>
          </w:p>
        </w:tc>
      </w:tr>
      <w:tr>
        <w:tc>
          <w:tcPr>
            <w:tcW w:type="dxa" w:w="7353"/>
          </w:tcPr>
          <w:p>
            <w:r>
              <w:t>• A consciência plena é uma habilidade-chave para alcançar a Felicidade Verdadeira.</w:t>
            </w:r>
          </w:p>
        </w:tc>
        <w:tc>
          <w:tcPr>
            <w:tcW w:type="dxa" w:w="7353"/>
          </w:tcPr>
          <w:p>
            <w:r>
              <w:rPr>
                <w:color w:val="555555"/>
              </w:rPr>
              <w:t>• Mindful awareness is a key skill for achieving True Happiness</w:t>
            </w:r>
          </w:p>
        </w:tc>
      </w:tr>
      <w:tr>
        <w:tc>
          <w:tcPr>
            <w:tcW w:type="dxa" w:w="7353"/>
          </w:tcPr>
          <w:p>
            <w:r>
              <w:t>O notar não precisa ser acompanhado de rotulação, e a rotulação pode ser mental ou falada. Isso nos dá três possibilidades:</w:t>
            </w:r>
          </w:p>
        </w:tc>
        <w:tc>
          <w:tcPr>
            <w:tcW w:type="dxa" w:w="7353"/>
          </w:tcPr>
          <w:p>
            <w:r>
              <w:rPr>
                <w:color w:val="555555"/>
              </w:rPr>
              <w:t>Noting need not be accompanied by labeling, and labeling may be mental or spoken. This gives us three possibilities:</w:t>
            </w:r>
          </w:p>
        </w:tc>
      </w:tr>
      <w:tr>
        <w:tc>
          <w:tcPr>
            <w:tcW w:type="dxa" w:w="7353"/>
          </w:tcPr>
          <w:p>
            <w:r>
              <w:t>1) Apenas Notar, sem rotular intencionalmente.</w:t>
            </w:r>
          </w:p>
        </w:tc>
        <w:tc>
          <w:tcPr>
            <w:tcW w:type="dxa" w:w="7353"/>
          </w:tcPr>
          <w:p>
            <w:r>
              <w:rPr>
                <w:color w:val="555555"/>
              </w:rPr>
              <w:t>1) Just Noting without intentionally labeling.</w:t>
            </w:r>
          </w:p>
        </w:tc>
      </w:tr>
      <w:tr>
        <w:tc>
          <w:tcPr>
            <w:tcW w:type="dxa" w:w="7353"/>
          </w:tcPr>
          <w:p>
            <w:r>
              <w:t>2) Rótulos mentais acompanhando o notar.</w:t>
            </w:r>
          </w:p>
        </w:tc>
        <w:tc>
          <w:tcPr>
            <w:tcW w:type="dxa" w:w="7353"/>
          </w:tcPr>
          <w:p>
            <w:r>
              <w:rPr>
                <w:color w:val="555555"/>
              </w:rPr>
              <w:t>2) Mental labels accompanying the noting.</w:t>
            </w:r>
          </w:p>
        </w:tc>
      </w:tr>
      <w:tr>
        <w:tc>
          <w:tcPr>
            <w:tcW w:type="dxa" w:w="7353"/>
          </w:tcPr>
          <w:p>
            <w:r>
              <w:t>3) Rótulos falados acompanhando o notar.</w:t>
            </w:r>
          </w:p>
        </w:tc>
        <w:tc>
          <w:tcPr>
            <w:tcW w:type="dxa" w:w="7353"/>
          </w:tcPr>
          <w:p>
            <w:r>
              <w:rPr>
                <w:color w:val="555555"/>
              </w:rPr>
              <w:t>3) Spoken labels accompanying the noting.</w:t>
            </w:r>
          </w:p>
        </w:tc>
      </w:tr>
      <w:tr>
        <w:tc>
          <w:tcPr>
            <w:tcW w:type="dxa" w:w="7353"/>
          </w:tcPr>
          <w:p>
            <w:r>
              <w:t>Dentro dos rótulos falados, há três subtipos:</w:t>
            </w:r>
          </w:p>
        </w:tc>
        <w:tc>
          <w:tcPr>
            <w:tcW w:type="dxa" w:w="7353"/>
          </w:tcPr>
          <w:p>
            <w:r>
              <w:rPr>
                <w:color w:val="555555"/>
              </w:rPr>
              <w:t>Within the spoken labels there are three sub-types:</w:t>
            </w:r>
          </w:p>
        </w:tc>
      </w:tr>
      <w:tr>
        <w:tc>
          <w:tcPr>
            <w:tcW w:type="dxa" w:w="7353"/>
          </w:tcPr>
          <w:p>
            <w:r>
              <w:t>1) Rótulos subvocais (rotulação articulada com a boca, sussurrada, ou em sotto voce, que seria inaudível para as pessoas próximas a você.)</w:t>
            </w:r>
          </w:p>
        </w:tc>
        <w:tc>
          <w:tcPr>
            <w:tcW w:type="dxa" w:w="7353"/>
          </w:tcPr>
          <w:p>
            <w:r>
              <w:rPr>
                <w:color w:val="555555"/>
              </w:rPr>
              <w:t>1) Sub-vocal labels (mouthed, whispered, or sotto voce labeling that would be inaudible to people near you.)</w:t>
            </w:r>
          </w:p>
        </w:tc>
      </w:tr>
      <w:tr>
        <w:tc>
          <w:tcPr>
            <w:tcW w:type="dxa" w:w="7353"/>
          </w:tcPr>
          <w:p>
            <w:r>
              <w:t>2) Rótulos falados comuns.</w:t>
            </w:r>
          </w:p>
        </w:tc>
        <w:tc>
          <w:tcPr>
            <w:tcW w:type="dxa" w:w="7353"/>
          </w:tcPr>
          <w:p>
            <w:r>
              <w:rPr>
                <w:color w:val="555555"/>
              </w:rPr>
              <w:t>2) Ordinary spoken labels.</w:t>
            </w:r>
          </w:p>
        </w:tc>
      </w:tr>
      <w:tr>
        <w:tc>
          <w:tcPr>
            <w:tcW w:type="dxa" w:w="7353"/>
          </w:tcPr>
          <w:p>
            <w:r>
              <w:t>3) Rótulos falados com força.</w:t>
            </w:r>
          </w:p>
        </w:tc>
        <w:tc>
          <w:tcPr>
            <w:tcW w:type="dxa" w:w="7353"/>
          </w:tcPr>
          <w:p>
            <w:r>
              <w:rPr>
                <w:color w:val="555555"/>
              </w:rPr>
              <w:t>3) Strongly spoken labels.</w:t>
            </w:r>
          </w:p>
        </w:tc>
      </w:tr>
      <w:tr>
        <w:tc>
          <w:tcPr>
            <w:tcW w:type="dxa" w:w="7353"/>
          </w:tcPr>
          <w:p>
            <w:r>
              <w:t>Obviamente, os dois últimos só podem ser feitos em ambientes apropriados. Isso lhe dá um espectro de cinco possibilidades, análogo às posições de marcha de um carro. Vamos nos referir a essas cinco possibilidades como modos de rotulação.</w:t>
            </w:r>
          </w:p>
        </w:tc>
        <w:tc>
          <w:tcPr>
            <w:tcW w:type="dxa" w:w="7353"/>
          </w:tcPr>
          <w:p>
            <w:r>
              <w:rPr>
                <w:color w:val="555555"/>
              </w:rPr>
              <w:t>Obviously the latter two can only be done in appropriate environments. This gives you a spectrum of five possibilities analogous to gear positions in a car. We will refer to these five possibilities as labeling modes.</w:t>
            </w:r>
          </w:p>
        </w:tc>
      </w:tr>
      <w:tr>
        <w:tc>
          <w:tcPr>
            <w:tcW w:type="dxa" w:w="7353"/>
          </w:tcPr>
          <w:p>
            <w:r>
              <w:t>Você pode alternar livremente entre os modos de rotulação. Você pode alternar com frequência ou raramente, conforme as circunstâncias ditarem. Por circunstâncias, quero dizer o que está acontecendo dentro de você (o quão focado ou disperso você está) e o que está acontecendo ao seu redor (se há pessoas que você poderia incomodar, etc.). Como princípio geral, assim que você ficar disperso ou capturado, mude imediatamente para um modo de rotulação mais forte. Uma vez que esteja bem focado, você pode descer para um modo de rotulação mais fraco, se assim desejar.</w:t>
            </w:r>
          </w:p>
        </w:tc>
        <w:tc>
          <w:tcPr>
            <w:tcW w:type="dxa" w:w="7353"/>
          </w:tcPr>
          <w:p>
            <w:r>
              <w:rPr>
                <w:color w:val="555555"/>
              </w:rPr>
              <w:t>You can freely shift back and forth between labeling modes. You may shift frequently or seldom as circumstances dictate. By circumstances, I mean what is going on inside you (how focused or scattered you are) and what is going on around you (whether there are people you might disturb, etc.). As a general principle, as soon as you get spaced out or caught up, immediately shift to a stronger mode of labeling. Once you get well focused, you can drop to a weaker mode of labeling if you so desire.</w:t>
            </w:r>
          </w:p>
        </w:tc>
      </w:tr>
    </w:tbl>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4706"/>
      </w:tblGrid>
      <w:tr>
        <w:tc>
          <w:tcPr>
            <w:tcW w:type="dxa" w:w="14706"/>
          </w:tcPr>
          <w:p>
            <w:pPr>
              <w:jc w:val="center"/>
            </w:pPr>
            <w:r/>
            <w:r>
              <w:rPr>
                <w:b/>
                <w:sz w:val="20"/>
              </w:rPr>
              <w:t>↑  Modo de Rotulação Mais Forte</w:t>
              <w:br/>
            </w:r>
            <w:r>
              <w:rPr>
                <w:color w:val="555555"/>
                <w:sz w:val="18"/>
              </w:rPr>
              <w:t>↑  Stronger Labeling Mode</w:t>
            </w:r>
          </w:p>
        </w:tc>
      </w:tr>
      <w:tr>
        <w:tc>
          <w:tcPr>
            <w:tcW w:type="dxa" w:w="14706"/>
          </w:tcPr>
          <w:p>
            <w:pPr>
              <w:jc w:val="center"/>
            </w:pPr>
            <w:r/>
            <w:r>
              <w:rPr>
                <w:b/>
                <w:sz w:val="20"/>
              </w:rPr>
              <w:t>Rótulos falados com força</w:t>
              <w:br/>
            </w:r>
            <w:r>
              <w:rPr>
                <w:color w:val="555555"/>
                <w:sz w:val="18"/>
              </w:rPr>
              <w:t>Strongly spoken labels</w:t>
            </w:r>
          </w:p>
        </w:tc>
      </w:tr>
      <w:tr>
        <w:tc>
          <w:tcPr>
            <w:tcW w:type="dxa" w:w="14706"/>
          </w:tcPr>
          <w:p>
            <w:pPr>
              <w:jc w:val="center"/>
            </w:pPr>
            <w:r/>
            <w:r>
              <w:rPr>
                <w:b/>
                <w:sz w:val="20"/>
              </w:rPr>
              <w:t>Rótulos falados normais</w:t>
              <w:br/>
            </w:r>
            <w:r>
              <w:rPr>
                <w:color w:val="555555"/>
                <w:sz w:val="18"/>
              </w:rPr>
              <w:t>Normal spoken labels</w:t>
            </w:r>
          </w:p>
        </w:tc>
      </w:tr>
      <w:tr>
        <w:tc>
          <w:tcPr>
            <w:tcW w:type="dxa" w:w="14706"/>
          </w:tcPr>
          <w:p>
            <w:pPr>
              <w:jc w:val="center"/>
            </w:pPr>
            <w:r/>
            <w:r>
              <w:rPr>
                <w:b/>
                <w:sz w:val="20"/>
              </w:rPr>
              <w:t>Rótulos subvocais</w:t>
              <w:br/>
            </w:r>
            <w:r>
              <w:rPr>
                <w:color w:val="555555"/>
                <w:sz w:val="18"/>
              </w:rPr>
              <w:t>Sub-vocal labels</w:t>
            </w:r>
          </w:p>
        </w:tc>
      </w:tr>
      <w:tr>
        <w:tc>
          <w:tcPr>
            <w:tcW w:type="dxa" w:w="14706"/>
          </w:tcPr>
          <w:p>
            <w:pPr>
              <w:jc w:val="center"/>
            </w:pPr>
            <w:r/>
            <w:r>
              <w:rPr>
                <w:b/>
                <w:sz w:val="20"/>
              </w:rPr>
              <w:t>Rótulos mentais</w:t>
              <w:br/>
            </w:r>
            <w:r>
              <w:rPr>
                <w:color w:val="555555"/>
                <w:sz w:val="18"/>
              </w:rPr>
              <w:t>Mental labels</w:t>
            </w:r>
          </w:p>
        </w:tc>
      </w:tr>
      <w:tr>
        <w:tc>
          <w:tcPr>
            <w:tcW w:type="dxa" w:w="14706"/>
          </w:tcPr>
          <w:p>
            <w:pPr>
              <w:jc w:val="center"/>
            </w:pPr>
            <w:r/>
            <w:r>
              <w:rPr>
                <w:b/>
                <w:sz w:val="20"/>
              </w:rPr>
              <w:t>Sem rótulos</w:t>
              <w:br/>
            </w:r>
            <w:r>
              <w:rPr>
                <w:color w:val="555555"/>
                <w:sz w:val="18"/>
              </w:rPr>
              <w:t>No labels</w:t>
            </w:r>
          </w:p>
        </w:tc>
      </w:tr>
      <w:tr>
        <w:tc>
          <w:tcPr>
            <w:tcW w:type="dxa" w:w="14706"/>
          </w:tcPr>
          <w:p>
            <w:pPr>
              <w:jc w:val="center"/>
            </w:pPr>
            <w:r/>
            <w:r>
              <w:rPr>
                <w:b/>
                <w:sz w:val="20"/>
              </w:rPr>
              <w:t>↓  Modo de Rotulação Mais Fraco</w:t>
              <w:br/>
            </w:r>
            <w:r>
              <w:rPr>
                <w:color w:val="555555"/>
                <w:sz w:val="18"/>
              </w:rPr>
              <w:t>↓  Weaker Labeling Mode</w:t>
            </w:r>
          </w:p>
        </w:tc>
      </w:tr>
    </w:tbl>
    <w:p>
      <w:pPr/>
    </w:p>
    <w:tbl>
      <w:tblPr>
        <w:tblW w:type="auto" w:w="0"/>
        <w:tblLayout w:type="fixed"/>
        <w:tblLook w:firstColumn="1" w:firstRow="1" w:lastColumn="0" w:lastRow="0" w:noHBand="0" w:noVBand="1" w:val="04A0"/>
      </w:tblPr>
      <w:tblGrid>
        <w:gridCol w:w="7353"/>
        <w:gridCol w:w="7353"/>
      </w:tblGrid>
      <w:tr>
        <w:tc>
          <w:tcPr>
            <w:tcW w:type="dxa" w:w="7353"/>
          </w:tcPr>
          <w:p>
            <w:r>
              <w:t>Os rótulos podem vir durante a fase de reconhecimento, ou a fase de foco, ou ambas.</w:t>
            </w:r>
          </w:p>
        </w:tc>
        <w:tc>
          <w:tcPr>
            <w:tcW w:type="dxa" w:w="7353"/>
          </w:tcPr>
          <w:p>
            <w:r>
              <w:rPr>
                <w:color w:val="555555"/>
              </w:rPr>
              <w:t>The labels can come during the acknowledging phase, or the focusing phase, or both.</w:t>
            </w:r>
          </w:p>
        </w:tc>
      </w:tr>
      <w:tr>
        <w:tc>
          <w:tcPr>
            <w:tcW w:type="dxa" w:w="7353"/>
          </w:tcPr>
          <w:p>
            <w:r>
              <w:t>Além das opções de rótulo, você tem opções relativas a Ênfase, Renotar, Zoom, Postura e Passou.</w:t>
            </w:r>
          </w:p>
        </w:tc>
        <w:tc>
          <w:tcPr>
            <w:tcW w:type="dxa" w:w="7353"/>
          </w:tcPr>
          <w:p>
            <w:r>
              <w:rPr>
                <w:color w:val="555555"/>
              </w:rPr>
              <w:t>In addition to the label options, you have options regarding Emphasis, Re-noting, Zooming, Stance, Gone.</w:t>
            </w:r>
          </w:p>
        </w:tc>
      </w:tr>
      <w:tr>
        <w:tc>
          <w:tcPr>
            <w:tcW w:type="dxa" w:w="7353"/>
          </w:tcPr>
          <w:p>
            <w:r>
              <w:t>• Ênfase.</w:t>
            </w:r>
          </w:p>
        </w:tc>
        <w:tc>
          <w:tcPr>
            <w:tcW w:type="dxa" w:w="7353"/>
          </w:tcPr>
          <w:p>
            <w:r>
              <w:rPr>
                <w:color w:val="555555"/>
              </w:rPr>
              <w:t>• Emphasis.</w:t>
            </w:r>
          </w:p>
        </w:tc>
      </w:tr>
      <w:tr>
        <w:tc>
          <w:tcPr>
            <w:tcW w:type="dxa" w:w="7353"/>
          </w:tcPr>
          <w:p>
            <w:r>
              <w:t xml:space="preserve">    ◦ Ênfase Exclusiva – Note apenas um elemento de uma coocorrência.</w:t>
            </w:r>
          </w:p>
        </w:tc>
        <w:tc>
          <w:tcPr>
            <w:tcW w:type="dxa" w:w="7353"/>
          </w:tcPr>
          <w:p>
            <w:r>
              <w:rPr>
                <w:color w:val="555555"/>
              </w:rPr>
              <w:t xml:space="preserve">    o Exclusive Emphasis – Note just one element of a co-occurrence.</w:t>
            </w:r>
          </w:p>
        </w:tc>
      </w:tr>
      <w:tr>
        <w:tc>
          <w:tcPr>
            <w:tcW w:type="dxa" w:w="7353"/>
          </w:tcPr>
          <w:p>
            <w:r>
              <w:t xml:space="preserve">    ◦ Ênfase Inclusiva – Note todos os elementos de uma coocorrência.</w:t>
            </w:r>
          </w:p>
        </w:tc>
        <w:tc>
          <w:tcPr>
            <w:tcW w:type="dxa" w:w="7353"/>
          </w:tcPr>
          <w:p>
            <w:r>
              <w:rPr>
                <w:color w:val="555555"/>
              </w:rPr>
              <w:t xml:space="preserve">    o Inclusive Emphasis – Note all elements of a co-occurrence.</w:t>
            </w:r>
          </w:p>
        </w:tc>
      </w:tr>
      <w:tr>
        <w:tc>
          <w:tcPr>
            <w:tcW w:type="dxa" w:w="7353"/>
          </w:tcPr>
          <w:p>
            <w:r>
              <w:t>• Renotar. Renote intencionalmente cada coisa por um número determinado de vezes (a menos que ela desapareça antes de você atingir a sua cota).</w:t>
            </w:r>
          </w:p>
        </w:tc>
        <w:tc>
          <w:tcPr>
            <w:tcW w:type="dxa" w:w="7353"/>
          </w:tcPr>
          <w:p>
            <w:r>
              <w:rPr>
                <w:color w:val="555555"/>
              </w:rPr>
              <w:t>• Re-noting. Intentionally re-note each thing for a set number of times (unless it vanishes before you reach your quota).</w:t>
            </w:r>
          </w:p>
        </w:tc>
      </w:tr>
      <w:tr>
        <w:tc>
          <w:tcPr>
            <w:tcW w:type="dxa" w:w="7353"/>
          </w:tcPr>
          <w:p>
            <w:r>
              <w:t xml:space="preserve">    ◦ Nota dupla</w:t>
            </w:r>
          </w:p>
        </w:tc>
        <w:tc>
          <w:tcPr>
            <w:tcW w:type="dxa" w:w="7353"/>
          </w:tcPr>
          <w:p>
            <w:r>
              <w:rPr>
                <w:color w:val="555555"/>
              </w:rPr>
              <w:t xml:space="preserve">    o Double note</w:t>
            </w:r>
          </w:p>
        </w:tc>
      </w:tr>
      <w:tr>
        <w:tc>
          <w:tcPr>
            <w:tcW w:type="dxa" w:w="7353"/>
          </w:tcPr>
          <w:p>
            <w:r>
              <w:t xml:space="preserve">    ◦ Nota tripla</w:t>
            </w:r>
          </w:p>
        </w:tc>
        <w:tc>
          <w:tcPr>
            <w:tcW w:type="dxa" w:w="7353"/>
          </w:tcPr>
          <w:p>
            <w:r>
              <w:rPr>
                <w:color w:val="555555"/>
              </w:rPr>
              <w:t xml:space="preserve">    o Triple note</w:t>
            </w:r>
          </w:p>
        </w:tc>
      </w:tr>
      <w:tr>
        <w:tc>
          <w:tcPr>
            <w:tcW w:type="dxa" w:w="7353"/>
          </w:tcPr>
          <w:p>
            <w:r>
              <w:t xml:space="preserve">    ◦ Nota quádrupla</w:t>
            </w:r>
          </w:p>
        </w:tc>
        <w:tc>
          <w:tcPr>
            <w:tcW w:type="dxa" w:w="7353"/>
          </w:tcPr>
          <w:p>
            <w:r>
              <w:rPr>
                <w:color w:val="555555"/>
              </w:rPr>
              <w:t xml:space="preserve">    o Quad note</w:t>
            </w:r>
          </w:p>
        </w:tc>
      </w:tr>
      <w:tr>
        <w:tc>
          <w:tcPr>
            <w:tcW w:type="dxa" w:w="7353"/>
          </w:tcPr>
          <w:p>
            <w:r>
              <w:t xml:space="preserve">    ◦ Notar até passar. Se você nota algo uma vez, continue a notar exatamente aquela mesma coisa até que ela, no todo ou em parte, desapareça. A opção notar até passar não exige que você note o mesmo evento até ele desaparecer completamente, mas exige que você permaneça com a mesma coisa até que ela, no todo ou em parte, desapareça.</w:t>
            </w:r>
          </w:p>
        </w:tc>
        <w:tc>
          <w:tcPr>
            <w:tcW w:type="dxa" w:w="7353"/>
          </w:tcPr>
          <w:p>
            <w:r>
              <w:rPr>
                <w:color w:val="555555"/>
              </w:rPr>
              <w:t xml:space="preserve">    o Note ‘til gone. If you note something once, continue to note that very same thing until all or part vanishes. The note ‘til gone option does not require that you note the same event until it completely vanishes but it does require that you stay with the same thing until all or part of that thing vanishes.</w:t>
            </w:r>
          </w:p>
        </w:tc>
      </w:tr>
      <w:tr>
        <w:tc>
          <w:tcPr>
            <w:tcW w:type="dxa" w:w="7353"/>
          </w:tcPr>
          <w:p>
            <w:r>
              <w:t>• Zoom. Controle o alcance espacial do seu foco durante a nota.</w:t>
            </w:r>
          </w:p>
        </w:tc>
        <w:tc>
          <w:tcPr>
            <w:tcW w:type="dxa" w:w="7353"/>
          </w:tcPr>
          <w:p>
            <w:r>
              <w:rPr>
                <w:color w:val="555555"/>
              </w:rPr>
              <w:t>• Zooming. Control the spatial scope of your focus during the note.</w:t>
            </w:r>
          </w:p>
        </w:tc>
      </w:tr>
      <w:tr>
        <w:tc>
          <w:tcPr>
            <w:tcW w:type="dxa" w:w="7353"/>
          </w:tcPr>
          <w:p>
            <w:r>
              <w:t xml:space="preserve">    ◦ Zoom para Dentro. Encolha o alcance da atenção para apenas uma área dentro do que você está notando.</w:t>
            </w:r>
          </w:p>
        </w:tc>
        <w:tc>
          <w:tcPr>
            <w:tcW w:type="dxa" w:w="7353"/>
          </w:tcPr>
          <w:p>
            <w:r>
              <w:rPr>
                <w:color w:val="555555"/>
              </w:rPr>
              <w:t xml:space="preserve">    o Zoom In. Shrink the scope of attention to just one area within what you’re noting.</w:t>
            </w:r>
          </w:p>
        </w:tc>
      </w:tr>
      <w:tr>
        <w:tc>
          <w:tcPr>
            <w:tcW w:type="dxa" w:w="7353"/>
          </w:tcPr>
          <w:p>
            <w:r>
              <w:t xml:space="preserve">    ◦ Zoom para Fora. Estenda o alcance da sua atenção para cobrir a área inteira do que você está notando.</w:t>
            </w:r>
          </w:p>
        </w:tc>
        <w:tc>
          <w:tcPr>
            <w:tcW w:type="dxa" w:w="7353"/>
          </w:tcPr>
          <w:p>
            <w:r>
              <w:rPr>
                <w:color w:val="555555"/>
              </w:rPr>
              <w:t xml:space="preserve">    o Zoom Out. Extend the scope of your attention to cover the entire area of what you’re noting.</w:t>
            </w:r>
          </w:p>
        </w:tc>
      </w:tr>
      <w:tr>
        <w:tc>
          <w:tcPr>
            <w:tcW w:type="dxa" w:w="7353"/>
          </w:tcPr>
          <w:p>
            <w:r>
              <w:t xml:space="preserve">    ◦ Zoom Além. Espalhe a sua atenção para além da fronteira do que você está notando, para encontrar a abertura ao redor. Essa abertura pode ser apenas uma leve sensação de espaço, ou pode ser uma vasta extensão de espaço.</w:t>
            </w:r>
          </w:p>
        </w:tc>
        <w:tc>
          <w:tcPr>
            <w:tcW w:type="dxa" w:w="7353"/>
          </w:tcPr>
          <w:p>
            <w:r>
              <w:rPr>
                <w:color w:val="555555"/>
              </w:rPr>
              <w:t xml:space="preserve">    o Zoom Beyond. Spread your attention beyond the boundary of what you’re noting to find the openness around it. That openness might just be a little sense of space or it might be a vast extent of space.</w:t>
            </w:r>
          </w:p>
        </w:tc>
      </w:tr>
      <w:tr>
        <w:tc>
          <w:tcPr>
            <w:tcW w:type="dxa" w:w="7353"/>
          </w:tcPr>
          <w:p>
            <w:r>
              <w:t xml:space="preserve">    ◦ Zoom nos Dois Sentidos. Encolha a sua atenção para uma área local de intensidade enquanto, ao mesmo tempo, dá um zoom para fora o máximo possível.</w:t>
            </w:r>
          </w:p>
        </w:tc>
        <w:tc>
          <w:tcPr>
            <w:tcW w:type="dxa" w:w="7353"/>
          </w:tcPr>
          <w:p>
            <w:r>
              <w:rPr>
                <w:color w:val="555555"/>
              </w:rPr>
              <w:t xml:space="preserve">    o Zoom Both Ways. Shrink your attention to a local area of intensity while at the same time zoom out as far as possible.</w:t>
            </w:r>
          </w:p>
        </w:tc>
      </w:tr>
      <w:tr>
        <w:tc>
          <w:tcPr>
            <w:tcW w:type="dxa" w:w="7353"/>
          </w:tcPr>
          <w:p>
            <w:r>
              <w:t>• Postura. Maneiras pelas quais você assume um papel ativo ou um papel passivo ao notar.</w:t>
            </w:r>
          </w:p>
        </w:tc>
        <w:tc>
          <w:tcPr>
            <w:tcW w:type="dxa" w:w="7353"/>
          </w:tcPr>
          <w:p>
            <w:r>
              <w:rPr>
                <w:color w:val="555555"/>
              </w:rPr>
              <w:t>• Stance. Ways in which take an active role or a passive role as you note.</w:t>
            </w:r>
          </w:p>
        </w:tc>
      </w:tr>
      <w:tr>
        <w:tc>
          <w:tcPr>
            <w:tcW w:type="dxa" w:w="7353"/>
          </w:tcPr>
          <w:p>
            <w:r>
              <w:t xml:space="preserve">    ◦ Postura de Contato. Maneiras pelas quais você assume um papel ativo ou passivo ao entrar em contato com uma experiência sensorial.</w:t>
            </w:r>
          </w:p>
        </w:tc>
        <w:tc>
          <w:tcPr>
            <w:tcW w:type="dxa" w:w="7353"/>
          </w:tcPr>
          <w:p>
            <w:r>
              <w:rPr>
                <w:color w:val="555555"/>
              </w:rPr>
              <w:t xml:space="preserve">    o Contact Stance. Ways in which you take an active role or a passive role in contacting a sensory experience.</w:t>
            </w:r>
          </w:p>
        </w:tc>
      </w:tr>
      <w:tr>
        <w:tc>
          <w:tcPr>
            <w:tcW w:type="dxa" w:w="7353"/>
          </w:tcPr>
          <w:p>
            <w:r>
              <w:t xml:space="preserve">    ◦ Postura de Foco. Maneiras pelas quais você assume um papel ativo ou passivo depois de ter entrado em contato com uma experiência sensorial.</w:t>
            </w:r>
          </w:p>
        </w:tc>
        <w:tc>
          <w:tcPr>
            <w:tcW w:type="dxa" w:w="7353"/>
          </w:tcPr>
          <w:p>
            <w:r>
              <w:rPr>
                <w:color w:val="555555"/>
              </w:rPr>
              <w:t xml:space="preserve">    o Focus Stance. Ways in which you take an active role or a passive role after you have contacted a sensory experience.</w:t>
            </w:r>
          </w:p>
        </w:tc>
      </w:tr>
      <w:tr>
        <w:tc>
          <w:tcPr>
            <w:tcW w:type="dxa" w:w="7353"/>
          </w:tcPr>
          <w:p>
            <w:r>
              <w:t>• Passou. Notar explicitamente o momento em que a coisa que você está notando, no todo ou em parte, desaparece.</w:t>
            </w:r>
          </w:p>
        </w:tc>
        <w:tc>
          <w:tcPr>
            <w:tcW w:type="dxa" w:w="7353"/>
          </w:tcPr>
          <w:p>
            <w:r>
              <w:rPr>
                <w:color w:val="555555"/>
              </w:rPr>
              <w:t>• Gone. To explicitly note the moment when all or part of the thing your noting vanishes.</w:t>
            </w:r>
          </w:p>
        </w:tc>
      </w:tr>
      <w:tr>
        <w:tc>
          <w:tcPr>
            <w:tcW w:type="dxa" w:w="7353"/>
          </w:tcPr>
          <w:p>
            <w:r>
              <w:t xml:space="preserve">    ◦ Notar explicitamente o Passou.</w:t>
            </w:r>
          </w:p>
        </w:tc>
        <w:tc>
          <w:tcPr>
            <w:tcW w:type="dxa" w:w="7353"/>
          </w:tcPr>
          <w:p>
            <w:r>
              <w:rPr>
                <w:color w:val="555555"/>
              </w:rPr>
              <w:t xml:space="preserve">    o Explicitly note Gone.</w:t>
            </w:r>
          </w:p>
        </w:tc>
      </w:tr>
      <w:tr>
        <w:tc>
          <w:tcPr>
            <w:tcW w:type="dxa" w:w="7353"/>
          </w:tcPr>
          <w:p>
            <w:r>
              <w:t xml:space="preserve">    ◦ Não se incomodar em notar o passou.</w:t>
            </w:r>
          </w:p>
        </w:tc>
        <w:tc>
          <w:tcPr>
            <w:tcW w:type="dxa" w:w="7353"/>
          </w:tcPr>
          <w:p>
            <w:r>
              <w:rPr>
                <w:color w:val="555555"/>
              </w:rPr>
              <w:t xml:space="preserve">    o Don’t bother to note gone.</w:t>
            </w:r>
          </w:p>
        </w:tc>
      </w:tr>
    </w:tbl>
    <w:p>
      <w:pPr>
        <w:pStyle w:val="Heading2"/>
      </w:pPr>
      <w:r>
        <w:t>FAQ sobre o Notar</w:t>
      </w:r>
    </w:p>
    <w:p>
      <w:pPr/>
      <w:r>
        <w:rPr>
          <w:color w:val="555555"/>
        </w:rPr>
        <w:t>FAQ on Noting</w:t>
      </w:r>
    </w:p>
    <w:tbl>
      <w:tblPr>
        <w:tblW w:type="auto" w:w="0"/>
        <w:tblLayout w:type="fixed"/>
        <w:tblLook w:firstColumn="1" w:firstRow="1" w:lastColumn="0" w:lastRow="0" w:noHBand="0" w:noVBand="1" w:val="04A0"/>
      </w:tblPr>
      <w:tblGrid>
        <w:gridCol w:w="7353"/>
        <w:gridCol w:w="7353"/>
      </w:tblGrid>
      <w:tr>
        <w:tc>
          <w:tcPr>
            <w:tcW w:type="dxa" w:w="7353"/>
          </w:tcPr>
          <w:p>
            <w:r>
              <w:t>1. Pergunta: Notar me faz pensar muito. Penso se estou fazendo certo. Penso no que procurar em seguida. Penso sobre pensar sobre pensar. O que devo fazer?</w:t>
            </w:r>
          </w:p>
        </w:tc>
        <w:tc>
          <w:tcPr>
            <w:tcW w:type="dxa" w:w="7353"/>
          </w:tcPr>
          <w:p>
            <w:r>
              <w:rPr>
                <w:color w:val="555555"/>
              </w:rPr>
              <w:t>1. Question: Noting makes me think a lot. I think about if I’m doing it right. I think about what to look for next. I think about thinking about thinking. What should I do?</w:t>
            </w:r>
          </w:p>
        </w:tc>
      </w:tr>
      <w:tr>
        <w:tc>
          <w:tcPr>
            <w:tcW w:type="dxa" w:w="7353"/>
          </w:tcPr>
          <w:p>
            <w:r>
              <w:t>Resposta: Apenas tenha paciência. Essas são reações iniciais comuns. Elas tendem a passar com o tempo porque: (1) acompanhar as experiências se torna mais natural para você e (2) a sua mente se cansa de pregar peças em si mesma. Lembre-se também de tornar a sua voz do notar intencionalmente impessoal e neutra, sem drama. Isso pode ajudar a reduzir o aspecto de “viajar em si mesmo” que você relata.</w:t>
            </w:r>
          </w:p>
        </w:tc>
        <w:tc>
          <w:tcPr>
            <w:tcW w:type="dxa" w:w="7353"/>
          </w:tcPr>
          <w:p>
            <w:r>
              <w:rPr>
                <w:color w:val="555555"/>
              </w:rPr>
              <w:t>Answer: Just be patient. Those are common initial reactions. They tend to go away with time because: (1) tracking experiences becomes more second nature for you and (2) your mind gets tired of playing games with itself. Remember also to intentionally make your noting voice impersonal and matter-of-fact. That may help reduce the “tripping out on yourself” aspect you’re reporting.</w:t>
            </w:r>
          </w:p>
        </w:tc>
      </w:tr>
      <w:tr>
        <w:tc>
          <w:tcPr>
            <w:tcW w:type="dxa" w:w="7353"/>
          </w:tcPr>
          <w:p>
            <w:r>
              <w:t>2. Pergunta: Parece que muitos dos meus rótulos são apenas chutes.</w:t>
            </w:r>
          </w:p>
        </w:tc>
        <w:tc>
          <w:tcPr>
            <w:tcW w:type="dxa" w:w="7353"/>
          </w:tcPr>
          <w:p>
            <w:r>
              <w:rPr>
                <w:color w:val="555555"/>
              </w:rPr>
              <w:t>2. Question: It seems that a lot of my labels are just guesses.</w:t>
            </w:r>
          </w:p>
        </w:tc>
      </w:tr>
      <w:tr>
        <w:tc>
          <w:tcPr>
            <w:tcW w:type="dxa" w:w="7353"/>
          </w:tcPr>
          <w:p>
            <w:r>
              <w:t>Resposta: Tudo bem. Você tem que começar de algum lugar. A confiança vem com a experiência.</w:t>
            </w:r>
          </w:p>
        </w:tc>
        <w:tc>
          <w:tcPr>
            <w:tcW w:type="dxa" w:w="7353"/>
          </w:tcPr>
          <w:p>
            <w:r>
              <w:rPr>
                <w:color w:val="555555"/>
              </w:rPr>
              <w:t>Answer: That’s okay. You have to start somewhere. Confidence comes with experience.</w:t>
            </w:r>
          </w:p>
        </w:tc>
      </w:tr>
      <w:tr>
        <w:tc>
          <w:tcPr>
            <w:tcW w:type="dxa" w:w="7353"/>
          </w:tcPr>
          <w:p>
            <w:r>
              <w:t>3. Pergunta: Parece que meus rótulos muitas vezes vêm atrasados, depois do fato, especialmente quando tento acompanhar a fala mental.</w:t>
            </w:r>
          </w:p>
        </w:tc>
        <w:tc>
          <w:tcPr>
            <w:tcW w:type="dxa" w:w="7353"/>
          </w:tcPr>
          <w:p>
            <w:r>
              <w:rPr>
                <w:color w:val="555555"/>
              </w:rPr>
              <w:t>3. Question: It seems that my labels often come late, after the fact, especially when I’m trying to track mental talk.</w:t>
            </w:r>
          </w:p>
        </w:tc>
      </w:tr>
      <w:tr>
        <w:tc>
          <w:tcPr>
            <w:tcW w:type="dxa" w:w="7353"/>
          </w:tcPr>
          <w:p>
            <w:r>
              <w:t>Resposta: Isso é esperado no começo. Você ainda está muito mais alerta do que estaria de outra forma. Com a prática, o notar se torna simultâneo ao surgimento de cada experiência.</w:t>
            </w:r>
          </w:p>
        </w:tc>
        <w:tc>
          <w:tcPr>
            <w:tcW w:type="dxa" w:w="7353"/>
          </w:tcPr>
          <w:p>
            <w:r>
              <w:rPr>
                <w:color w:val="555555"/>
              </w:rPr>
              <w:t>Answer: That’s to be expected at the beginning. You are still much more alert than you would be otherwise. With practice, noting becomes concurrent with the arising of each experience.</w:t>
            </w:r>
          </w:p>
        </w:tc>
      </w:tr>
      <w:tr>
        <w:tc>
          <w:tcPr>
            <w:tcW w:type="dxa" w:w="7353"/>
          </w:tcPr>
          <w:p>
            <w:r>
              <w:t>4. Pergunta: O notar parece interferir ou mudar a coisa em que estou focando, então não consigo detectar o que realmente está ali.</w:t>
            </w:r>
          </w:p>
        </w:tc>
        <w:tc>
          <w:tcPr>
            <w:tcW w:type="dxa" w:w="7353"/>
          </w:tcPr>
          <w:p>
            <w:r>
              <w:rPr>
                <w:color w:val="555555"/>
              </w:rPr>
              <w:t>4. Question: The noting seems to interfere with or change the thing I’m focusing on so I can’t detect what’s really there.</w:t>
            </w:r>
          </w:p>
        </w:tc>
      </w:tr>
      <w:tr>
        <w:tc>
          <w:tcPr>
            <w:tcW w:type="dxa" w:w="7353"/>
          </w:tcPr>
          <w:p>
            <w:r>
              <w:t>Resposta: Claro que consegue. O que realmente está ali é tudo o que estava ali mais qualquer mudança produzida pelo ato de prestar atenção nisso. Qualquer experiência sensorial é uma candidata válida para o foco, mesmo que essa experiência tenha sido causada ou modificada pelo próprio ato de focar.</w:t>
            </w:r>
          </w:p>
        </w:tc>
        <w:tc>
          <w:tcPr>
            <w:tcW w:type="dxa" w:w="7353"/>
          </w:tcPr>
          <w:p>
            <w:r>
              <w:rPr>
                <w:color w:val="555555"/>
              </w:rPr>
              <w:t>Answer: Sure you can. What’s really there is whatever was there plus any change produced from the act of paying attention to it. Any sensory experience is a valid candidate for focusing on, even if that experience has been caused by or modified by the act of focusing itself.</w:t>
            </w:r>
          </w:p>
        </w:tc>
      </w:tr>
      <w:tr>
        <w:tc>
          <w:tcPr>
            <w:tcW w:type="dxa" w:w="7353"/>
          </w:tcPr>
          <w:p>
            <w:r>
              <w:t>5. Pergunta: Notar parece reforçar uma forte sensação de um “eu” que faz o notar.</w:t>
            </w:r>
          </w:p>
        </w:tc>
        <w:tc>
          <w:tcPr>
            <w:tcW w:type="dxa" w:w="7353"/>
          </w:tcPr>
          <w:p>
            <w:r>
              <w:rPr>
                <w:color w:val="555555"/>
              </w:rPr>
              <w:t>5. Question: Noting seems to reinforce a strong sense of an “I” doing the noting.</w:t>
            </w:r>
          </w:p>
        </w:tc>
      </w:tr>
      <w:tr>
        <w:tc>
          <w:tcPr>
            <w:tcW w:type="dxa" w:w="7353"/>
          </w:tcPr>
          <w:p>
            <w:r>
              <w:t>Resposta: Isso é natural no começo. Em algum momento, o Notar entra no piloto automático. Aqui vai uma metáfora. Depois de bastante prática inicial, você aprende a realizar a tarefa complexa de dirigir um carro sem precisar de muito de um “eu que dirige”. Da mesma forma, com o tempo você será capaz de rotular fenômenos complexos com rapidez e precisão, sem precisar de um “eu que medita”.</w:t>
            </w:r>
          </w:p>
        </w:tc>
        <w:tc>
          <w:tcPr>
            <w:tcW w:type="dxa" w:w="7353"/>
          </w:tcPr>
          <w:p>
            <w:r>
              <w:rPr>
                <w:color w:val="555555"/>
              </w:rPr>
              <w:t>Answer: That’s natural at the beginning. At some point the Noting goes on autopilot. Here’s a metaphor. After lots of initial practice, you learn to do the complex task of driving a car without needing much of a “driving self.” In the same way, eventually you will be able to quickly and accurately label complex phenomena without needing a “meditating self.”</w:t>
            </w:r>
          </w:p>
        </w:tc>
      </w:tr>
      <w:tr>
        <w:tc>
          <w:tcPr>
            <w:tcW w:type="dxa" w:w="7353"/>
          </w:tcPr>
          <w:p>
            <w:r>
              <w:t>6. Pergunta: Eu só fico rotulando a mesma coisa repetidas vezes. Qual é o sentido?</w:t>
            </w:r>
          </w:p>
        </w:tc>
        <w:tc>
          <w:tcPr>
            <w:tcW w:type="dxa" w:w="7353"/>
          </w:tcPr>
          <w:p>
            <w:r>
              <w:rPr>
                <w:color w:val="555555"/>
              </w:rPr>
              <w:t>6. Question: I just keep labeling the same thing over and over again. What’s the point?</w:t>
            </w:r>
          </w:p>
        </w:tc>
      </w:tr>
      <w:tr>
        <w:tc>
          <w:tcPr>
            <w:tcW w:type="dxa" w:w="7353"/>
          </w:tcPr>
          <w:p>
            <w:r>
              <w:t>Resposta: Lembre-se de que notar não é apenas perceber. Cada vez que você nota algo, você foca nisso e se abre para isso. A mágica está no focar e no abrir-se, momento a momento. A cada momento, você está aprendendo uma nova maneira de processar a experiência sensorial. Você não está perdendo o seu tempo, mesmo que apenas note o mesmo evento aparentemente banal, ou até desconfortável, repetidas vezes. Cada nota é uma nova chance—uma oportunidade de experienciar um momento de completude.</w:t>
            </w:r>
          </w:p>
        </w:tc>
        <w:tc>
          <w:tcPr>
            <w:tcW w:type="dxa" w:w="7353"/>
          </w:tcPr>
          <w:p>
            <w:r>
              <w:rPr>
                <w:color w:val="555555"/>
              </w:rPr>
              <w:t>Answer: Remember that noting is not just noticing. Each time you note something you focus on it and open up to it. The magic is in the moment-by-moment focusing and opening. In each moment, you are learning a new way to process sensory experience. You are not wasting your time even if you just note the same seemingly banal or even uncomfortable event over and over. Each note is a new turn at bat—a chance to experience a moment of completeness.</w:t>
            </w:r>
          </w:p>
        </w:tc>
      </w:tr>
      <w:tr>
        <w:tc>
          <w:tcPr>
            <w:tcW w:type="dxa" w:w="7353"/>
          </w:tcPr>
          <w:p>
            <w:r>
              <w:t>7. Pergunta: Por que eu deveria notar e rotular?</w:t>
            </w:r>
          </w:p>
        </w:tc>
        <w:tc>
          <w:tcPr>
            <w:tcW w:type="dxa" w:w="7353"/>
          </w:tcPr>
          <w:p>
            <w:r>
              <w:rPr>
                <w:color w:val="555555"/>
              </w:rPr>
              <w:t>7. Question: Why should I note and label?</w:t>
            </w:r>
          </w:p>
        </w:tc>
      </w:tr>
      <w:tr>
        <w:tc>
          <w:tcPr>
            <w:tcW w:type="dxa" w:w="7353"/>
          </w:tcPr>
          <w:p>
            <w:r>
              <w:t>Resposta: Há muitas razões. Aqui estão algumas:</w:t>
            </w:r>
          </w:p>
        </w:tc>
        <w:tc>
          <w:tcPr>
            <w:tcW w:type="dxa" w:w="7353"/>
          </w:tcPr>
          <w:p>
            <w:r>
              <w:rPr>
                <w:color w:val="555555"/>
              </w:rPr>
              <w:t>Answer: There are many reasons. Here are a few:</w:t>
            </w:r>
          </w:p>
        </w:tc>
      </w:tr>
      <w:tr>
        <w:tc>
          <w:tcPr>
            <w:tcW w:type="dxa" w:w="7353"/>
          </w:tcPr>
          <w:p>
            <w:r>
              <w:t>O tom gentil e amoroso que você cria na sua voz ao rotular pode ser muito poderoso. A sua própria voz pode colocá-lo em um estado profundo de tranquilização, segurança e autoaceitação. Vamos nos referir a esse estado como equanimidade.</w:t>
            </w:r>
          </w:p>
        </w:tc>
        <w:tc>
          <w:tcPr>
            <w:tcW w:type="dxa" w:w="7353"/>
          </w:tcPr>
          <w:p>
            <w:r>
              <w:rPr>
                <w:color w:val="555555"/>
              </w:rPr>
              <w:t>The gentle loving tone that you create in your voice as you label can be very powerful. Your own voice can put you into a deep state of reassurance, safety, and self-acceptance. We’ll refer to such a state as equanimity.</w:t>
            </w:r>
          </w:p>
        </w:tc>
      </w:tr>
      <w:tr>
        <w:tc>
          <w:tcPr>
            <w:tcW w:type="dxa" w:w="7353"/>
          </w:tcPr>
          <w:p>
            <w:r>
              <w:t>Notar permite que você foque apenas no que está presente no momento. Isso reduz a sobrecarga, o que, por sua vez, reduz o sofrimento.</w:t>
            </w:r>
          </w:p>
        </w:tc>
        <w:tc>
          <w:tcPr>
            <w:tcW w:type="dxa" w:w="7353"/>
          </w:tcPr>
          <w:p>
            <w:r>
              <w:rPr>
                <w:color w:val="555555"/>
              </w:rPr>
              <w:t>Noting allows you to focus on just what’s present in the moment. This reduces overwhelm, which in turn reduces suffering.</w:t>
            </w:r>
          </w:p>
        </w:tc>
      </w:tr>
      <w:tr>
        <w:tc>
          <w:tcPr>
            <w:tcW w:type="dxa" w:w="7353"/>
          </w:tcPr>
          <w:p>
            <w:r>
              <w:t>Notar permite que você decomponha as experiências em partes administráveis e lide com elas uma de cada vez. Um peso de 250 quilos vai esmagá-lo, mas dez pesos de 25 quilos podem ser carregados um de cada vez.</w:t>
            </w:r>
          </w:p>
        </w:tc>
        <w:tc>
          <w:tcPr>
            <w:tcW w:type="dxa" w:w="7353"/>
          </w:tcPr>
          <w:p>
            <w:r>
              <w:rPr>
                <w:color w:val="555555"/>
              </w:rPr>
              <w:t>Noting allows you to break experiences down into manageable parts and deal with them one at a time. A 500-pound weight will crush you, but ten 50-pound weights can be carried one at a time.</w:t>
            </w:r>
          </w:p>
        </w:tc>
      </w:tr>
      <w:tr>
        <w:tc>
          <w:tcPr>
            <w:tcW w:type="dxa" w:w="7353"/>
          </w:tcPr>
          <w:p>
            <w:r>
              <w:t>Algumas das coisas que você vai notar representam janelas de oportunidade—aspectos agradáveis da experiência, como o repouso e o flow. Eles costumam estar presentes, mas geralmente passam despercebidos e, portanto, não são aproveitados. As categorias sensoriais usadas no Mindfulness Unificado são estruturadas para chamar a sua atenção para essas janelas de oportunidade.</w:t>
            </w:r>
          </w:p>
        </w:tc>
        <w:tc>
          <w:tcPr>
            <w:tcW w:type="dxa" w:w="7353"/>
          </w:tcPr>
          <w:p>
            <w:r>
              <w:rPr>
                <w:color w:val="555555"/>
              </w:rPr>
              <w:t>Some of the things you’ll be noting represent windows of opportunity—pleasant aspects of experience such as rest and flow. These are often present but usually go unnoticed and, hence, un-enjoyed. Sensory categories used in Unified Mindfulness are set up to call your attention to such windows of opportunity.</w:t>
            </w:r>
          </w:p>
        </w:tc>
      </w:tr>
      <w:tr>
        <w:tc>
          <w:tcPr>
            <w:tcW w:type="dxa" w:w="7353"/>
          </w:tcPr>
          <w:p>
            <w:r>
              <w:t>8. Pergunta: Não consigo separar a imagem mental da fala mental. Alguma sugestão?</w:t>
            </w:r>
          </w:p>
        </w:tc>
        <w:tc>
          <w:tcPr>
            <w:tcW w:type="dxa" w:w="7353"/>
          </w:tcPr>
          <w:p>
            <w:r>
              <w:rPr>
                <w:color w:val="555555"/>
              </w:rPr>
              <w:t>8. Question: I cannot seem to separate mental image from mental talk. Any suggestions?</w:t>
            </w:r>
          </w:p>
        </w:tc>
      </w:tr>
      <w:tr>
        <w:tc>
          <w:tcPr>
            <w:tcW w:type="dxa" w:w="7353"/>
          </w:tcPr>
          <w:p>
            <w:r>
              <w:t>Resposta: Depende do que você quer dizer com “separar”. Se por separar você quer dizer impedir que a imagem e a fala aconteçam ao mesmo tempo, ou impedi-las de interagir uma com a outra, então você tem razão. Nem você nem ninguém consegue separá-las nesse sentido. No entanto, a boa notícia é que não há necessidade de separá-las nesse sentido. Mesmo quando a fala mental e a imagem mental estão entrelaçadas, ainda é possível experienciá-las como eventos sensoriais qualitativa e espacialmente distintos. Qualitativamente falando, as imagens mentais são visuais. A fala mental é auditiva. Espacialmente falando, as imagens tendem a se centrar mais à frente; por exemplo, na frente ou atrás dos seus olhos. A fala tende a ocorrer mais atrás, geralmente em algum lugar na sua cabeça/nos seus ouvidos. Assim como você consegue distinguir imagens externas de sons externos, você consegue “separar” as imagens internas das conversas internas.</w:t>
            </w:r>
          </w:p>
        </w:tc>
        <w:tc>
          <w:tcPr>
            <w:tcW w:type="dxa" w:w="7353"/>
          </w:tcPr>
          <w:p>
            <w:r>
              <w:rPr>
                <w:color w:val="555555"/>
              </w:rPr>
              <w:t>Answer: It depends on what you mean by “separate.” If by separate you mean preventing image and talk from happening at the same time, or stopping them from interacting back and forth, then you’re right. Neither you nor anyone else can separate them in that sense. However, the good news is that there’s no need to separate them in that sense. Even when mental talk and mental image are intertwined, it is still possible to experience them as qualitatively and spatially distinct sensory events. Qualitatively speaking, mental images are visual. Mental talk is auditory. Spatially speaking, images tend to be centered more forward; for example, in front of or behind your eyes. Talk tends to occur further back, usually somewhere in your head/at your ears. Just as you can distinguish external sights from external sounds, you can “separate” internal images from internal conversations.</w:t>
            </w:r>
          </w:p>
        </w:tc>
      </w:tr>
      <w:tr>
        <w:tc>
          <w:tcPr>
            <w:tcW w:type="dxa" w:w="7353"/>
          </w:tcPr>
          <w:p>
            <w:r>
              <w:t>9. Pergunta: Você pode resumir algumas diretrizes básicas para o processo de rotulação?</w:t>
            </w:r>
          </w:p>
        </w:tc>
        <w:tc>
          <w:tcPr>
            <w:tcW w:type="dxa" w:w="7353"/>
          </w:tcPr>
          <w:p>
            <w:r>
              <w:rPr>
                <w:color w:val="555555"/>
              </w:rPr>
              <w:t>9. Question: Can you summarize some basic guidelines for the labeling process?</w:t>
            </w:r>
          </w:p>
        </w:tc>
      </w:tr>
      <w:tr>
        <w:tc>
          <w:tcPr>
            <w:tcW w:type="dxa" w:w="7353"/>
          </w:tcPr>
          <w:p>
            <w:r>
              <w:t>Resposta:</w:t>
            </w:r>
          </w:p>
        </w:tc>
        <w:tc>
          <w:tcPr>
            <w:tcW w:type="dxa" w:w="7353"/>
          </w:tcPr>
          <w:p>
            <w:r>
              <w:rPr>
                <w:color w:val="555555"/>
              </w:rPr>
              <w:t>Answer:</w:t>
            </w:r>
          </w:p>
        </w:tc>
      </w:tr>
      <w:tr>
        <w:tc>
          <w:tcPr>
            <w:tcW w:type="dxa" w:w="7353"/>
          </w:tcPr>
          <w:p>
            <w:r>
              <w:t>Se você está notando sem rótulos e fica disperso ou capturado, comece a rotular mentalmente.</w:t>
            </w:r>
          </w:p>
        </w:tc>
        <w:tc>
          <w:tcPr>
            <w:tcW w:type="dxa" w:w="7353"/>
          </w:tcPr>
          <w:p>
            <w:r>
              <w:rPr>
                <w:color w:val="555555"/>
              </w:rPr>
              <w:t>If you are noting without labels and are getting spaced out or caught up, start to mentally label.</w:t>
            </w:r>
          </w:p>
        </w:tc>
      </w:tr>
      <w:tr>
        <w:tc>
          <w:tcPr>
            <w:tcW w:type="dxa" w:w="7353"/>
          </w:tcPr>
          <w:p>
            <w:r>
              <w:t>Se isso não ajudar, module intencionalmente a sua voz mental para ser mais gentil e neutra, sem drama, mesmo que isso pareça artificial e forçado.</w:t>
            </w:r>
          </w:p>
        </w:tc>
        <w:tc>
          <w:tcPr>
            <w:tcW w:type="dxa" w:w="7353"/>
          </w:tcPr>
          <w:p>
            <w:r>
              <w:rPr>
                <w:color w:val="555555"/>
              </w:rPr>
              <w:t>If that doesn’t help, intentionally modulate your mental voice to be more gentle and matter-of-fact, even if that seems artificial and contrived.</w:t>
            </w:r>
          </w:p>
        </w:tc>
      </w:tr>
      <w:tr>
        <w:tc>
          <w:tcPr>
            <w:tcW w:type="dxa" w:w="7353"/>
          </w:tcPr>
          <w:p>
            <w:r>
              <w:t>Se isso não ajudar, fale os rótulos em voz alta naquele tom gentil e neutro, sem drama.</w:t>
            </w:r>
          </w:p>
        </w:tc>
        <w:tc>
          <w:tcPr>
            <w:tcW w:type="dxa" w:w="7353"/>
          </w:tcPr>
          <w:p>
            <w:r>
              <w:rPr>
                <w:color w:val="555555"/>
              </w:rPr>
              <w:t>If that doesn’t help, speak the labels out loud in that gentle and matter-of-fact tone.</w:t>
            </w:r>
          </w:p>
        </w:tc>
      </w:tr>
      <w:tr>
        <w:tc>
          <w:tcPr>
            <w:tcW w:type="dxa" w:w="7353"/>
          </w:tcPr>
          <w:p>
            <w:r>
              <w:t>Se isso não resolver, use rótulos falados com força.</w:t>
            </w:r>
          </w:p>
        </w:tc>
        <w:tc>
          <w:tcPr>
            <w:tcW w:type="dxa" w:w="7353"/>
          </w:tcPr>
          <w:p>
            <w:r>
              <w:rPr>
                <w:color w:val="555555"/>
              </w:rPr>
              <w:t>If that doesn’t, use strongly spoken labels.</w:t>
            </w:r>
          </w:p>
        </w:tc>
      </w:tr>
      <w:tr>
        <w:tc>
          <w:tcPr>
            <w:tcW w:type="dxa" w:w="7353"/>
          </w:tcPr>
          <w:p>
            <w:r>
              <w:t>Se o esforço de falar os rótulos causar reações desconfortáveis (resistência, emoção, e assim por diante), rotule essas reações. (Essas reações são prova de que você está fazendo o procedimento corretamente. O modo de rotulação mais forte está forçando você a encarar de frente a própria inconsciência!)</w:t>
            </w:r>
          </w:p>
        </w:tc>
        <w:tc>
          <w:tcPr>
            <w:tcW w:type="dxa" w:w="7353"/>
          </w:tcPr>
          <w:p>
            <w:r>
              <w:rPr>
                <w:color w:val="555555"/>
              </w:rPr>
              <w:t>If the effort to speak the labels causes uncomfortable reactions (resistance, emotion, and so forth) label those reactions. (Those reactions are proof that you’re doing the procedure correctly. The stronger labeling mode is forcing you to go toe-to-toe with the unconsciousness itself!)</w:t>
            </w:r>
          </w:p>
        </w:tc>
      </w:tr>
      <w:tr>
        <w:tc>
          <w:tcPr>
            <w:tcW w:type="dxa" w:w="7353"/>
          </w:tcPr>
          <w:p>
            <w:r>
              <w:t>10. Pergunta: Não gosto de rotular.</w:t>
            </w:r>
          </w:p>
        </w:tc>
        <w:tc>
          <w:tcPr>
            <w:tcW w:type="dxa" w:w="7353"/>
          </w:tcPr>
          <w:p>
            <w:r>
              <w:rPr>
                <w:color w:val="555555"/>
              </w:rPr>
              <w:t>10. Question: I don’t like to label.</w:t>
            </w:r>
          </w:p>
        </w:tc>
      </w:tr>
      <w:tr>
        <w:tc>
          <w:tcPr>
            <w:tcW w:type="dxa" w:w="7353"/>
          </w:tcPr>
          <w:p>
            <w:r>
              <w:t>Resposta: A solução é fácil. Você não precisa! Rotular é uma opção dentro do aparato do Notar. Mas, se for uma escolha entre rotular com esforço, de um lado, e ficar completamente disperso, do outro, vá de rótulos!</w:t>
            </w:r>
          </w:p>
        </w:tc>
        <w:tc>
          <w:tcPr>
            <w:tcW w:type="dxa" w:w="7353"/>
          </w:tcPr>
          <w:p>
            <w:r>
              <w:rPr>
                <w:color w:val="555555"/>
              </w:rPr>
              <w:t>Answer: The solution is easy. You don’t have to! Labeling is an option within the apparatus of Noting. But if it’s a choice between effortful labeling on one hand and being grossly spaced out on the other, go for the labels!</w:t>
            </w:r>
          </w:p>
        </w:tc>
      </w:tr>
      <w:tr>
        <w:tc>
          <w:tcPr>
            <w:tcW w:type="dxa" w:w="7353"/>
          </w:tcPr>
          <w:p>
            <w:r>
              <w:t>11. Pergunta: Como devo lidar com a minha tagarelice mental incessante?</w:t>
            </w:r>
          </w:p>
        </w:tc>
        <w:tc>
          <w:tcPr>
            <w:tcW w:type="dxa" w:w="7353"/>
          </w:tcPr>
          <w:p>
            <w:r>
              <w:rPr>
                <w:color w:val="555555"/>
              </w:rPr>
              <w:t>11. Question: How should I deal with my incessant mental chatter?</w:t>
            </w:r>
          </w:p>
        </w:tc>
      </w:tr>
      <w:tr>
        <w:tc>
          <w:tcPr>
            <w:tcW w:type="dxa" w:w="7353"/>
          </w:tcPr>
          <w:p>
            <w:r>
              <w:t>Resposta: Da forma como está, esta pergunta é irrespondível, porque lhe falta uma informação crítica. Algo precisa ser especificado antes que uma resposta útil possa ser formulada. Você consegue ver o que está faltando? O que falta é o contexto.</w:t>
            </w:r>
          </w:p>
        </w:tc>
        <w:tc>
          <w:tcPr>
            <w:tcW w:type="dxa" w:w="7353"/>
          </w:tcPr>
          <w:p>
            <w:r>
              <w:rPr>
                <w:color w:val="555555"/>
              </w:rPr>
              <w:t>Answer: As it stands, this question is unanswerable because it lacks a critical piece of information. Something needs to be specified before a helpful response can be formulated. Can you see what’s lacking? What’s lacking is the context.</w:t>
            </w:r>
          </w:p>
        </w:tc>
      </w:tr>
      <w:tr>
        <w:tc>
          <w:tcPr>
            <w:tcW w:type="dxa" w:w="7353"/>
          </w:tcPr>
          <w:p>
            <w:r>
              <w:t>Qualquer pergunta do tipo “o que devo fazer a respeito de X” (onde X poderia ser qualquer coisa) precisa ser formulada em uma de duas formas:</w:t>
            </w:r>
          </w:p>
        </w:tc>
        <w:tc>
          <w:tcPr>
            <w:tcW w:type="dxa" w:w="7353"/>
          </w:tcPr>
          <w:p>
            <w:r>
              <w:rPr>
                <w:color w:val="555555"/>
              </w:rPr>
              <w:t>Any question like “what should I do about X” (where X could be anything), needs to be stated in one of two forms:</w:t>
            </w:r>
          </w:p>
        </w:tc>
      </w:tr>
      <w:tr>
        <w:tc>
          <w:tcPr>
            <w:tcW w:type="dxa" w:w="7353"/>
          </w:tcPr>
          <w:p>
            <w:r>
              <w:t>• Contexto genérico: De modo geral, quais são as maneiras de lidar com X?</w:t>
            </w:r>
          </w:p>
        </w:tc>
        <w:tc>
          <w:tcPr>
            <w:tcW w:type="dxa" w:w="7353"/>
          </w:tcPr>
          <w:p>
            <w:r>
              <w:rPr>
                <w:color w:val="555555"/>
              </w:rPr>
              <w:t>• Generic context: Broadly speaking, what are the ways of dealing with X?</w:t>
            </w:r>
          </w:p>
        </w:tc>
      </w:tr>
      <w:tr>
        <w:tc>
          <w:tcPr>
            <w:tcW w:type="dxa" w:w="7353"/>
          </w:tcPr>
          <w:p>
            <w:r>
              <w:t>• Contexto específico: Estou fazendo a técnica T, usando as opções P, Q e R. Estou experienciando X. Como devo lidar com isso?</w:t>
            </w:r>
          </w:p>
        </w:tc>
        <w:tc>
          <w:tcPr>
            <w:tcW w:type="dxa" w:w="7353"/>
          </w:tcPr>
          <w:p>
            <w:r>
              <w:rPr>
                <w:color w:val="555555"/>
              </w:rPr>
              <w:t>• Specific context: I’m doing technique T, using options P, Q, and R. I’m experiencing X. How should I deal with it?</w:t>
            </w:r>
          </w:p>
        </w:tc>
      </w:tr>
      <w:tr>
        <w:tc>
          <w:tcPr>
            <w:tcW w:type="dxa" w:w="7353"/>
          </w:tcPr>
          <w:p>
            <w:r>
              <w:t>O formato genérico está pedindo um algoritmo completo – todo o espectro de escolhas possíveis de técnica e opções para lidar com X, junto com algumas diretrizes sobre quando usar cada uma. Isso é muita informação. O formato específico está pedindo consideravelmente menos.</w:t>
            </w:r>
          </w:p>
        </w:tc>
        <w:tc>
          <w:tcPr>
            <w:tcW w:type="dxa" w:w="7353"/>
          </w:tcPr>
          <w:p>
            <w:r>
              <w:rPr>
                <w:color w:val="555555"/>
              </w:rPr>
              <w:t>The generic format is asking for a complete algorithm – the full spectrum of possible technique and option choices for dealing with X, along with some guidelines as to when to use which. That’s a lot of information. The specific format is asking for considerably less.</w:t>
            </w:r>
          </w:p>
        </w:tc>
      </w:tr>
      <w:tr>
        <w:tc>
          <w:tcPr>
            <w:tcW w:type="dxa" w:w="7353"/>
          </w:tcPr>
          <w:p>
            <w:r>
              <w:t>Então, deixe-me perguntar: você gostaria de um resumo completo das maneiras de lidar com a tagarelice mental, ou está me perguntando como lidar com a tagarelice mental dentro do contexto de uma técnica e de um alcance de foco específicos?</w:t>
            </w:r>
          </w:p>
        </w:tc>
        <w:tc>
          <w:tcPr>
            <w:tcW w:type="dxa" w:w="7353"/>
          </w:tcPr>
          <w:p>
            <w:r>
              <w:rPr>
                <w:color w:val="555555"/>
              </w:rPr>
              <w:t>So let me ask you: would you like a complete summary of ways for dealing with mental chatter or are you asking me of how to deal with mental chatter within the context of a specific technique and focus range?</w:t>
            </w:r>
          </w:p>
        </w:tc>
      </w:tr>
      <w:tr>
        <w:tc>
          <w:tcPr>
            <w:tcW w:type="dxa" w:w="7353"/>
          </w:tcPr>
          <w:p>
            <w:r>
              <w:t>O aluno responde: O contexto é que estou fazendo Ver Ouvir Sentir Tudo.</w:t>
            </w:r>
          </w:p>
        </w:tc>
        <w:tc>
          <w:tcPr>
            <w:tcW w:type="dxa" w:w="7353"/>
          </w:tcPr>
          <w:p>
            <w:r>
              <w:rPr>
                <w:color w:val="555555"/>
              </w:rPr>
              <w:t>The student responds: The context is that I’m doing See Hear Feel Everything.</w:t>
            </w:r>
          </w:p>
        </w:tc>
      </w:tr>
      <w:tr>
        <w:tc>
          <w:tcPr>
            <w:tcW w:type="dxa" w:w="7353"/>
          </w:tcPr>
          <w:p>
            <w:r>
              <w:t>Nesse caso, apenas note a fala como Ouvir. Usar rótulos falados com uma voz intencional, amorosa e equânime pode ajudar. Se a fala vier em rajadas distintas, note explicitamente o fim de cada rajada como “Passou”. Esteja ciente também de que a fala mental às vezes dispara sensações corporais emocionais. Quando isso acontece, detectar e equanimizar isso pode ajudar a reduzir a compulsão em torno do pensar. Como o seu alcance de foco inclui tudo, você pode notar as sensações corporais emocionais como Sentir.</w:t>
            </w:r>
          </w:p>
        </w:tc>
        <w:tc>
          <w:tcPr>
            <w:tcW w:type="dxa" w:w="7353"/>
          </w:tcPr>
          <w:p>
            <w:r>
              <w:rPr>
                <w:color w:val="555555"/>
              </w:rPr>
              <w:t>In that case, just note the talk as Hear. Using spoken labels with an intentional, loving, equanimity voice may help. If the talk comes in distinct bursts, explicitly note the end of each burst as “Gone.” Also be aware that mental talk sometimes triggers emotional body sensations. When that happens, detecting and equanimizing that may help reduce the drivenness around thinking. Since your focus range includes everything, you can note emotional body sensations as Feel.</w:t>
            </w:r>
          </w:p>
        </w:tc>
      </w:tr>
      <w:tr>
        <w:tc>
          <w:tcPr>
            <w:tcW w:type="dxa" w:w="7353"/>
          </w:tcPr>
          <w:p>
            <w:r>
              <w:t>Se o seu alcance de foco tivesse sido algo como Focar Fora ou Focar no Repouso, então eu teria dito: Deixe a fala mental ir e vir ao fundo. Deixe a equanimidade envolver a fala mental, mas direcione a sua clareza e concentração para as coisas que estão no seu alcance de foco. A capacidade de deixar algo ir e vir ao fundo é um aspecto da equanimidade que eu chamo de “equanimidade de fundo”. Apenas continue se afastando da fala mental e voltando para as coisas no seu alcance de foco. Você vai conseguir fazer isso ou não. Se não conseguir, tudo bem. Nesse caso, mude o seu alcance de foco para incluir a fala mental, ou para ser a fala mental.</w:t>
            </w:r>
          </w:p>
        </w:tc>
        <w:tc>
          <w:tcPr>
            <w:tcW w:type="dxa" w:w="7353"/>
          </w:tcPr>
          <w:p>
            <w:r>
              <w:rPr>
                <w:color w:val="555555"/>
              </w:rPr>
              <w:t>If your focus range had been something like Focus Out or Focus on Rest, then I would have been said: Let the mental talk come and go in the background. Let equanimity surround the mental talk but but direct your clarity and concentration to things that are in your focus range. The ability to let something come and go in the background is an aspect of equanimity that I call “background equanimity.” Just keep pulling away from the mental talk and coming back to things in your focus range. You’ll either be able to do that or not. If you can’t, that’s okay. In that case, shift your focus range to include or be the mental talk.</w:t>
            </w:r>
          </w:p>
        </w:tc>
      </w:tr>
      <w:tr>
        <w:tc>
          <w:tcPr>
            <w:tcW w:type="dxa" w:w="7353"/>
          </w:tcPr>
          <w:p>
            <w:r>
              <w:t>A propósito, o seu pedido explícito foi por uma estratégia para lidar com a fala mental. Mas eu sinto que, por trás dele, há um pedido implícito – um pedido de tranquilização. Você gostaria de saber: “Esta tagarelice incessante vai embora algum dia?” Tranquilização é um pedido legítimo. Deixe-me dizer o seguinte …</w:t>
            </w:r>
          </w:p>
        </w:tc>
        <w:tc>
          <w:tcPr>
            <w:tcW w:type="dxa" w:w="7353"/>
          </w:tcPr>
          <w:p>
            <w:r>
              <w:rPr>
                <w:color w:val="555555"/>
              </w:rPr>
              <w:t>By the way, your explicit request was for a strategy around dealing with mental talk. But, I sense behind it is an implicit request – a request for reassurance. You’d like to know, “Will this incessant chatter ever go away?” Reassurance is a legitimate request. Let me say this …</w:t>
            </w:r>
          </w:p>
        </w:tc>
      </w:tr>
      <w:tr>
        <w:tc>
          <w:tcPr>
            <w:tcW w:type="dxa" w:w="7353"/>
          </w:tcPr>
          <w:p>
            <w:r>
              <w:t>Se você implementar todas as sugestões bastante modestas descritas no artigo Um Esboço da Prática, e se mantiver isso pela vida inteira, então sim, há uma alta probabilidade de que, em algum momento, a tagarelice incessante mais ou menos se dissipe – isto é, você essencialmente se tornará livre dela.</w:t>
            </w:r>
          </w:p>
        </w:tc>
        <w:tc>
          <w:tcPr>
            <w:tcW w:type="dxa" w:w="7353"/>
          </w:tcPr>
          <w:p>
            <w:r>
              <w:rPr>
                <w:color w:val="555555"/>
              </w:rPr>
              <w:t>If you implement all of the rather modest suggestions described in the article An Outline of Practice, and if you keep that up for your entire life, then yes, there’s a high probability that at some point the incessant chatter will more or less fade away –i.e., you’ll essentially become free of it.</w:t>
            </w:r>
          </w:p>
        </w:tc>
      </w:tr>
      <w:tr>
        <w:tc>
          <w:tcPr>
            <w:tcW w:type="dxa" w:w="7353"/>
          </w:tcPr>
          <w:p>
            <w:r>
              <w:t>Mas, muito antes de isso acontecer, você se tornará livre dentro dela. Com isso, quero dizer que você aprenderá a experienciá-la de forma tão plena que ela deixa de ser uma fonte de sofrimento.</w:t>
            </w:r>
          </w:p>
        </w:tc>
        <w:tc>
          <w:tcPr>
            <w:tcW w:type="dxa" w:w="7353"/>
          </w:tcPr>
          <w:p>
            <w:r>
              <w:rPr>
                <w:color w:val="555555"/>
              </w:rPr>
              <w:t>But long before that happens, you’ll become free within it. By that I mean that you’ll learn to experience it so fully it ceases to be a source of suffering.</w:t>
            </w:r>
          </w:p>
        </w:tc>
      </w:tr>
    </w:tbl>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Vamos supor que você seja um coach de mindfulness. Como você responderia a cada uma destas perguntas/relatos? Compare as suas respostas com as do FAQ.</w:t>
            </w:r>
          </w:p>
        </w:tc>
        <w:tc>
          <w:tcPr>
            <w:tcW w:type="dxa" w:w="7353"/>
          </w:tcPr>
          <w:p>
            <w:r>
              <w:rPr>
                <w:color w:val="555555"/>
              </w:rPr>
              <w:t>1. Let’s assume that you’re a mindfulness coach. How would you respond to each of these questions/reports? Compare your answers to those on the FAQ.</w:t>
            </w:r>
          </w:p>
        </w:tc>
      </w:tr>
      <w:tr>
        <w:tc>
          <w:tcPr>
            <w:tcW w:type="dxa" w:w="7353"/>
          </w:tcPr>
          <w:p>
            <w:r>
              <w:t>• Notar me faz pensar muito. Penso se estou fazendo certo. Penso no que procurar em seguida. Penso sobre pensar sobre pensar. O que devo fazer?</w:t>
            </w:r>
          </w:p>
        </w:tc>
        <w:tc>
          <w:tcPr>
            <w:tcW w:type="dxa" w:w="7353"/>
          </w:tcPr>
          <w:p>
            <w:r>
              <w:rPr>
                <w:color w:val="555555"/>
              </w:rPr>
              <w:t>• Noting makes me think a lot. I think about if I’m doing it right. I think about what to look for next. I think about thinking about thinking. What should I do?</w:t>
            </w:r>
          </w:p>
        </w:tc>
      </w:tr>
      <w:tr>
        <w:tc>
          <w:tcPr>
            <w:tcW w:type="dxa" w:w="7353"/>
          </w:tcPr>
          <w:p>
            <w:r>
              <w:t>• Parece que muitos dos meus rótulos são apenas chutes.</w:t>
            </w:r>
          </w:p>
        </w:tc>
        <w:tc>
          <w:tcPr>
            <w:tcW w:type="dxa" w:w="7353"/>
          </w:tcPr>
          <w:p>
            <w:r>
              <w:rPr>
                <w:color w:val="555555"/>
              </w:rPr>
              <w:t>• It seems that a lot of my labels are just guesses.</w:t>
            </w:r>
          </w:p>
        </w:tc>
      </w:tr>
      <w:tr>
        <w:tc>
          <w:tcPr>
            <w:tcW w:type="dxa" w:w="7353"/>
          </w:tcPr>
          <w:p>
            <w:r>
              <w:t>• Parece que meus rótulos muitas vezes vêm atrasados, depois do fato, especialmente quando tento acompanhar a fala mental.</w:t>
            </w:r>
          </w:p>
        </w:tc>
        <w:tc>
          <w:tcPr>
            <w:tcW w:type="dxa" w:w="7353"/>
          </w:tcPr>
          <w:p>
            <w:r>
              <w:rPr>
                <w:color w:val="555555"/>
              </w:rPr>
              <w:t>• It seems that my labels often come late, after the fact, especially when I’m trying to track mental talk.</w:t>
            </w:r>
          </w:p>
        </w:tc>
      </w:tr>
      <w:tr>
        <w:tc>
          <w:tcPr>
            <w:tcW w:type="dxa" w:w="7353"/>
          </w:tcPr>
          <w:p>
            <w:r>
              <w:t>• O notar parece interferir ou mudar a coisa em que estou focando, então não consigo detectar o que realmente está ali.</w:t>
            </w:r>
          </w:p>
        </w:tc>
        <w:tc>
          <w:tcPr>
            <w:tcW w:type="dxa" w:w="7353"/>
          </w:tcPr>
          <w:p>
            <w:r>
              <w:rPr>
                <w:color w:val="555555"/>
              </w:rPr>
              <w:t>• The noting seems to interfere with or change the thing I’m focusing on so I can’t detect what’s really there.</w:t>
            </w:r>
          </w:p>
        </w:tc>
      </w:tr>
      <w:tr>
        <w:tc>
          <w:tcPr>
            <w:tcW w:type="dxa" w:w="7353"/>
          </w:tcPr>
          <w:p>
            <w:r>
              <w:t>• Notar parece reforçar uma forte sensação de um “eu” que faz o notar.</w:t>
            </w:r>
          </w:p>
        </w:tc>
        <w:tc>
          <w:tcPr>
            <w:tcW w:type="dxa" w:w="7353"/>
          </w:tcPr>
          <w:p>
            <w:r>
              <w:rPr>
                <w:color w:val="555555"/>
              </w:rPr>
              <w:t>• Noting seems to reinforce a strong sense of an “I” doing the noting.</w:t>
            </w:r>
          </w:p>
        </w:tc>
      </w:tr>
      <w:tr>
        <w:tc>
          <w:tcPr>
            <w:tcW w:type="dxa" w:w="7353"/>
          </w:tcPr>
          <w:p>
            <w:r>
              <w:t>• Eu só fico rotulando a mesma coisa repetidas vezes. Qual é o sentido?</w:t>
            </w:r>
          </w:p>
        </w:tc>
        <w:tc>
          <w:tcPr>
            <w:tcW w:type="dxa" w:w="7353"/>
          </w:tcPr>
          <w:p>
            <w:r>
              <w:rPr>
                <w:color w:val="555555"/>
              </w:rPr>
              <w:t>• I just keep labeling the same thing over and over again. What’s the point?</w:t>
            </w:r>
          </w:p>
        </w:tc>
      </w:tr>
      <w:tr>
        <w:tc>
          <w:tcPr>
            <w:tcW w:type="dxa" w:w="7353"/>
          </w:tcPr>
          <w:p>
            <w:r>
              <w:t>• Por que eu deveria notar e rotular?</w:t>
            </w:r>
          </w:p>
        </w:tc>
        <w:tc>
          <w:tcPr>
            <w:tcW w:type="dxa" w:w="7353"/>
          </w:tcPr>
          <w:p>
            <w:r>
              <w:rPr>
                <w:color w:val="555555"/>
              </w:rPr>
              <w:t>• Why should I note and label?</w:t>
            </w:r>
          </w:p>
        </w:tc>
      </w:tr>
      <w:tr>
        <w:tc>
          <w:tcPr>
            <w:tcW w:type="dxa" w:w="7353"/>
          </w:tcPr>
          <w:p>
            <w:r>
              <w:t>• Não consigo separar a imagem mental da fala mental. Alguma sugestão?</w:t>
            </w:r>
          </w:p>
        </w:tc>
        <w:tc>
          <w:tcPr>
            <w:tcW w:type="dxa" w:w="7353"/>
          </w:tcPr>
          <w:p>
            <w:r>
              <w:rPr>
                <w:color w:val="555555"/>
              </w:rPr>
              <w:t>• I cannot seem to separate mental image from mental talk. Any suggestions?</w:t>
            </w:r>
          </w:p>
        </w:tc>
      </w:tr>
      <w:tr>
        <w:tc>
          <w:tcPr>
            <w:tcW w:type="dxa" w:w="7353"/>
          </w:tcPr>
          <w:p>
            <w:r>
              <w:t>• Você pode resumir algumas diretrizes básicas para o processo de rotulação?</w:t>
            </w:r>
          </w:p>
        </w:tc>
        <w:tc>
          <w:tcPr>
            <w:tcW w:type="dxa" w:w="7353"/>
          </w:tcPr>
          <w:p>
            <w:r>
              <w:rPr>
                <w:color w:val="555555"/>
              </w:rPr>
              <w:t>• Can you summarize some basic guidelines for the labeling process?</w:t>
            </w:r>
          </w:p>
        </w:tc>
      </w:tr>
      <w:tr>
        <w:tc>
          <w:tcPr>
            <w:tcW w:type="dxa" w:w="7353"/>
          </w:tcPr>
          <w:p>
            <w:r>
              <w:t>• Não gosto de rotular.</w:t>
            </w:r>
          </w:p>
        </w:tc>
        <w:tc>
          <w:tcPr>
            <w:tcW w:type="dxa" w:w="7353"/>
          </w:tcPr>
          <w:p>
            <w:r>
              <w:rPr>
                <w:color w:val="555555"/>
              </w:rPr>
              <w:t>• I don’t like to label.</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 Veja o FAQ original.</w:t>
            </w:r>
          </w:p>
        </w:tc>
        <w:tc>
          <w:tcPr>
            <w:tcW w:type="dxa" w:w="7353"/>
          </w:tcPr>
          <w:p>
            <w:r>
              <w:rPr>
                <w:color w:val="555555"/>
              </w:rPr>
              <w:t>1. See the original FAQ.</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