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Apêndice: Nossas Opções Mudaram (Mas Nem Tanto)</w:t>
      </w:r>
    </w:p>
    <w:p>
      <w:pPr/>
      <w:r>
        <w:rPr>
          <w:color w:val="555555"/>
        </w:rPr>
        <w:t>Appendix: Our Options Have Changed (But Not Really)</w:t>
      </w:r>
    </w:p>
    <w:tbl>
      <w:tblPr>
        <w:tblW w:type="auto" w:w="0"/>
        <w:tblLayout w:type="fixed"/>
        <w:tblLook w:firstColumn="1" w:firstRow="1" w:lastColumn="0" w:lastRow="0" w:noHBand="0" w:noVBand="1" w:val="04A0"/>
      </w:tblPr>
      <w:tblGrid>
        <w:gridCol w:w="7353"/>
        <w:gridCol w:w="7353"/>
      </w:tblGrid>
      <w:tr>
        <w:tc>
          <w:tcPr>
            <w:tcW w:type="dxa" w:w="7353"/>
          </w:tcPr>
          <w:p>
            <w:r>
              <w:t>Na forma pré-2015 do Mindfulness Unificado (antes chamado de Mindfulness Básico), a prática do notar era organizada em uma grade complexa de técnicas. O novo sistema é essencialmente semelhante, mas o grosso das técnicas do notar agora está integrado em uma abordagem única e mais simples, chamada Ver Ouvir Sentir. A Grade ainda está lá (na verdade, ela foi um tanto ampliada). Mas está escondida dentro de um paradigma simplificador.</w:t>
            </w:r>
          </w:p>
        </w:tc>
        <w:tc>
          <w:tcPr>
            <w:tcW w:type="dxa" w:w="7353"/>
          </w:tcPr>
          <w:p>
            <w:r>
              <w:rPr>
                <w:color w:val="555555"/>
              </w:rPr>
              <w:t>In the pre-2015 form of Unified Mindfulness (formerly called Basic Mindfulness), noting practice was organized into a complex grid of techniques. The new system is essentially similar but the bulk of the noting techniques are now integrated into a single, simpler approach called See Hear Feel. The Grid is still there (indeed, it has been somewhat extended). But it’s hidden within a simplifying paradigm.</w:t>
            </w:r>
          </w:p>
        </w:tc>
      </w:tr>
      <w:tr>
        <w:tc>
          <w:tcPr>
            <w:tcW w:type="dxa" w:w="7353"/>
          </w:tcPr>
          <w:p>
            <w:r>
              <w:t>A inovação revolucionária que torna isso possível é a rotulação flexível, um dos principais assuntos deste artigo. A descoberta da rotulação flexível é um exemplo de expansão e contração simultâneas. Em relação ao sistema anterior, a abordagem flexível cobre mais território. Por outro lado, ela exige muito menos palavras. É claro que, como em qualquer mudança, há um preço a pagar. Pode levar alguma prática até você se acostumar com o novo sistema (essencialmente, você só tem que aprender a dispensar os especificadores “Dentro”, “Fora”, “Repouso”, etc.). Por outro lado, se você prefere fortemente o antigo sistema bissilábico, sinta-se à vontade para usá-lo ou ensiná-lo. Você conhece a minha filosofia sobre essas coisas: a maneira “certa” de praticar é o que quer que funcione.</w:t>
            </w:r>
          </w:p>
        </w:tc>
        <w:tc>
          <w:tcPr>
            <w:tcW w:type="dxa" w:w="7353"/>
          </w:tcPr>
          <w:p>
            <w:r>
              <w:rPr>
                <w:color w:val="555555"/>
              </w:rPr>
              <w:t>The breakthrough innovation that makes this possible is flexible labeling, one of the main subjects of this article. The discovery of flexible labeling is an example of simultaneous expansion and contraction. Relative to the previous system, the flexible approach covers more territory. On the other hand, it requires far fewer words. Of course, as with any change, there’s a price to pay. It may take some practice before you get used to the new system (essentially you just have to learn how to drop the specifiers “In,” “Out,” “Rest,” etc.). On the other hand, if you strongly prefer the old bi-syllabic system, you should feel free to use it or teach it. You know my philosophy regarding such things: the “right” way to practice is whatever works.</w:t>
            </w:r>
          </w:p>
        </w:tc>
      </w:tr>
      <w:tr>
        <w:tc>
          <w:tcPr>
            <w:tcW w:type="dxa" w:w="7353"/>
          </w:tcPr>
          <w:p>
            <w:r>
              <w:t>Além da rotulação flexível, a formulação atual oferece vários recursos novos:</w:t>
            </w:r>
          </w:p>
        </w:tc>
        <w:tc>
          <w:tcPr>
            <w:tcW w:type="dxa" w:w="7353"/>
          </w:tcPr>
          <w:p>
            <w:r>
              <w:rPr>
                <w:color w:val="555555"/>
              </w:rPr>
              <w:t>In addition to flexible labeling, the current formulation offers several new features:</w:t>
            </w:r>
          </w:p>
        </w:tc>
      </w:tr>
      <w:tr>
        <w:tc>
          <w:tcPr>
            <w:tcW w:type="dxa" w:w="7353"/>
          </w:tcPr>
          <w:p>
            <w:r>
              <w:t>• Um ponto de partida padronizado.</w:t>
            </w:r>
          </w:p>
        </w:tc>
        <w:tc>
          <w:tcPr>
            <w:tcW w:type="dxa" w:w="7353"/>
          </w:tcPr>
          <w:p>
            <w:r>
              <w:rPr>
                <w:color w:val="555555"/>
              </w:rPr>
              <w:t>• A standardized starting point.</w:t>
            </w:r>
          </w:p>
        </w:tc>
      </w:tr>
      <w:tr>
        <w:tc>
          <w:tcPr>
            <w:tcW w:type="dxa" w:w="7353"/>
          </w:tcPr>
          <w:p>
            <w:r>
              <w:t>• Um novo tema chamado Espaçosidade.</w:t>
            </w:r>
          </w:p>
        </w:tc>
        <w:tc>
          <w:tcPr>
            <w:tcW w:type="dxa" w:w="7353"/>
          </w:tcPr>
          <w:p>
            <w:r>
              <w:rPr>
                <w:color w:val="555555"/>
              </w:rPr>
              <w:t>• A new theme called Spaciousness.</w:t>
            </w:r>
          </w:p>
        </w:tc>
      </w:tr>
      <w:tr>
        <w:tc>
          <w:tcPr>
            <w:tcW w:type="dxa" w:w="7353"/>
          </w:tcPr>
          <w:p>
            <w:r>
              <w:t>• Simplificação da técnica Nutrir o Positivo.</w:t>
            </w:r>
          </w:p>
        </w:tc>
        <w:tc>
          <w:tcPr>
            <w:tcW w:type="dxa" w:w="7353"/>
          </w:tcPr>
          <w:p>
            <w:r>
              <w:rPr>
                <w:color w:val="555555"/>
              </w:rPr>
              <w:t>• Simplification of the Nurture Positive technique.</w:t>
            </w:r>
          </w:p>
        </w:tc>
      </w:tr>
      <w:tr>
        <w:tc>
          <w:tcPr>
            <w:tcW w:type="dxa" w:w="7353"/>
          </w:tcPr>
          <w:p>
            <w:r>
              <w:t>• Notar explicitamente o Passou agora é uma opção (enquanto antes era um recurso padrão do processo de notar).</w:t>
            </w:r>
          </w:p>
        </w:tc>
        <w:tc>
          <w:tcPr>
            <w:tcW w:type="dxa" w:w="7353"/>
          </w:tcPr>
          <w:p>
            <w:r>
              <w:rPr>
                <w:color w:val="555555"/>
              </w:rPr>
              <w:t>• Explicitly noting Gone is now an option (whereas before it was a standard feature of the noting process).</w:t>
            </w:r>
          </w:p>
        </w:tc>
      </w:tr>
      <w:tr>
        <w:tc>
          <w:tcPr>
            <w:tcW w:type="dxa" w:w="7353"/>
          </w:tcPr>
          <w:p>
            <w:r>
              <w:t>Além disso:</w:t>
            </w:r>
          </w:p>
        </w:tc>
        <w:tc>
          <w:tcPr>
            <w:tcW w:type="dxa" w:w="7353"/>
          </w:tcPr>
          <w:p>
            <w:r>
              <w:rPr>
                <w:color w:val="555555"/>
              </w:rPr>
              <w:t>Also:</w:t>
            </w:r>
          </w:p>
        </w:tc>
      </w:tr>
      <w:tr>
        <w:tc>
          <w:tcPr>
            <w:tcW w:type="dxa" w:w="7353"/>
          </w:tcPr>
          <w:p>
            <w:r>
              <w:t>• A antiga terminologia bissilábica (Ver Dentro, Sentir Fora, etc.) ainda tem o seu lugar.</w:t>
            </w:r>
          </w:p>
        </w:tc>
        <w:tc>
          <w:tcPr>
            <w:tcW w:type="dxa" w:w="7353"/>
          </w:tcPr>
          <w:p>
            <w:r>
              <w:rPr>
                <w:color w:val="555555"/>
              </w:rPr>
              <w:t>• The old bi-syllabic terminology (See In, Feel Out, etc.) still has a place.</w:t>
            </w:r>
          </w:p>
        </w:tc>
      </w:tr>
      <w:tr>
        <w:tc>
          <w:tcPr>
            <w:tcW w:type="dxa" w:w="7353"/>
          </w:tcPr>
          <w:p>
            <w:r>
              <w:t>• Não Fazer Nada ainda faz parte do sistema.</w:t>
            </w:r>
          </w:p>
        </w:tc>
        <w:tc>
          <w:tcPr>
            <w:tcW w:type="dxa" w:w="7353"/>
          </w:tcPr>
          <w:p>
            <w:r>
              <w:rPr>
                <w:color w:val="555555"/>
              </w:rPr>
              <w:t>• Do Nothing is still part of the system.</w:t>
            </w:r>
          </w:p>
        </w:tc>
      </w:tr>
      <w:tr>
        <w:tc>
          <w:tcPr>
            <w:tcW w:type="dxa" w:w="7353"/>
          </w:tcPr>
          <w:p>
            <w:r>
              <w:t>Aqui estão os detalhes:</w:t>
            </w:r>
          </w:p>
        </w:tc>
        <w:tc>
          <w:tcPr>
            <w:tcW w:type="dxa" w:w="7353"/>
          </w:tcPr>
          <w:p>
            <w:r>
              <w:rPr>
                <w:color w:val="555555"/>
              </w:rPr>
              <w:t>Here are the specifics:</w:t>
            </w:r>
          </w:p>
        </w:tc>
      </w:tr>
    </w:tbl>
    <w:p>
      <w:pPr>
        <w:pStyle w:val="Heading2"/>
      </w:pPr>
      <w:r>
        <w:t>Um Novo Tema: Espaçosidade</w:t>
      </w:r>
    </w:p>
    <w:p>
      <w:pPr/>
      <w:r>
        <w:rPr>
          <w:color w:val="555555"/>
        </w:rPr>
        <w:t>A New Theme: Spaciousness</w:t>
      </w:r>
    </w:p>
    <w:tbl>
      <w:tblPr>
        <w:tblW w:type="auto" w:w="0"/>
        <w:tblLayout w:type="fixed"/>
        <w:tblLook w:firstColumn="1" w:firstRow="1" w:lastColumn="0" w:lastRow="0" w:noHBand="0" w:noVBand="1" w:val="04A0"/>
      </w:tblPr>
      <w:tblGrid>
        <w:gridCol w:w="7353"/>
        <w:gridCol w:w="7353"/>
      </w:tblGrid>
      <w:tr>
        <w:tc>
          <w:tcPr>
            <w:tcW w:type="dxa" w:w="7353"/>
          </w:tcPr>
          <w:p>
            <w:r>
              <w:t>Isso envolve uma ou ambas das seguintes:</w:t>
            </w:r>
          </w:p>
        </w:tc>
        <w:tc>
          <w:tcPr>
            <w:tcW w:type="dxa" w:w="7353"/>
          </w:tcPr>
          <w:p>
            <w:r>
              <w:rPr>
                <w:color w:val="555555"/>
              </w:rPr>
              <w:t>This involves one or both of the following:</w:t>
            </w:r>
          </w:p>
        </w:tc>
      </w:tr>
      <w:tr>
        <w:tc>
          <w:tcPr>
            <w:tcW w:type="dxa" w:w="7353"/>
          </w:tcPr>
          <w:p>
            <w:r>
              <w:t>• Entrar em contato com o espaço ao redor de cada um dos três modais – uma forma de expansão.</w:t>
            </w:r>
          </w:p>
        </w:tc>
        <w:tc>
          <w:tcPr>
            <w:tcW w:type="dxa" w:w="7353"/>
          </w:tcPr>
          <w:p>
            <w:r>
              <w:rPr>
                <w:color w:val="555555"/>
              </w:rPr>
              <w:t>• Contacting the space around each of the three modalities – a form of expansion.</w:t>
            </w:r>
          </w:p>
        </w:tc>
      </w:tr>
      <w:tr>
        <w:tc>
          <w:tcPr>
            <w:tcW w:type="dxa" w:w="7353"/>
          </w:tcPr>
          <w:p>
            <w:r>
              <w:t>• Entrar em contato com a sutileza dentro de cada um dos modais – uma forma de contração.</w:t>
            </w:r>
          </w:p>
        </w:tc>
        <w:tc>
          <w:tcPr>
            <w:tcW w:type="dxa" w:w="7353"/>
          </w:tcPr>
          <w:p>
            <w:r>
              <w:rPr>
                <w:color w:val="555555"/>
              </w:rPr>
              <w:t>• Contacting the thinness within each of the modalities – a form of contraction.</w:t>
            </w:r>
          </w:p>
        </w:tc>
      </w:tr>
    </w:tbl>
    <w:p>
      <w:pPr>
        <w:pStyle w:val="Heading2"/>
      </w:pPr>
      <w:r>
        <w:t>Simplificação da Técnica Nutrir o Positivo</w:t>
      </w:r>
    </w:p>
    <w:p>
      <w:pPr/>
      <w:r>
        <w:rPr>
          <w:color w:val="555555"/>
        </w:rPr>
        <w:t>Simplification of the Nurture Positive Technique</w:t>
      </w:r>
    </w:p>
    <w:tbl>
      <w:tblPr>
        <w:tblW w:type="auto" w:w="0"/>
        <w:tblLayout w:type="fixed"/>
        <w:tblLook w:firstColumn="1" w:firstRow="1" w:lastColumn="0" w:lastRow="0" w:noHBand="0" w:noVBand="1" w:val="04A0"/>
      </w:tblPr>
      <w:tblGrid>
        <w:gridCol w:w="7353"/>
        <w:gridCol w:w="7353"/>
      </w:tblGrid>
      <w:tr>
        <w:tc>
          <w:tcPr>
            <w:tcW w:type="dxa" w:w="7353"/>
          </w:tcPr>
          <w:p>
            <w:r>
              <w:t>Os seis temas anteriores foram reduzidos a quatro – os quatro que considerei mais úteis:</w:t>
            </w:r>
          </w:p>
        </w:tc>
        <w:tc>
          <w:tcPr>
            <w:tcW w:type="dxa" w:w="7353"/>
          </w:tcPr>
          <w:p>
            <w:r>
              <w:rPr>
                <w:color w:val="555555"/>
              </w:rPr>
              <w:t>The previous six themes have been reduced to four – the four that I’ve found to be most useful:</w:t>
            </w:r>
          </w:p>
        </w:tc>
      </w:tr>
    </w:tbl>
    <w:tbl>
      <w:tblPr>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7353"/>
        <w:gridCol w:w="7353"/>
      </w:tblGrid>
      <w:tr>
        <w:tc>
          <w:tcPr>
            <w:tcW w:type="dxa" w:w="7353"/>
          </w:tcPr>
          <w:p>
            <w:r/>
            <w:r>
              <w:rPr>
                <w:b/>
                <w:sz w:val="18"/>
              </w:rPr>
              <w:t>Antigo Nutrir o Positivo</w:t>
              <w:br/>
            </w:r>
            <w:r>
              <w:rPr>
                <w:b/>
                <w:color w:val="555555"/>
                <w:sz w:val="16"/>
              </w:rPr>
              <w:t>Old Nurture Positive</w:t>
            </w:r>
          </w:p>
        </w:tc>
        <w:tc>
          <w:tcPr>
            <w:tcW w:type="dxa" w:w="7353"/>
          </w:tcPr>
          <w:p>
            <w:r/>
            <w:r>
              <w:rPr>
                <w:b/>
                <w:sz w:val="18"/>
              </w:rPr>
              <w:t>Novo Nutrir o Positivo</w:t>
              <w:br/>
            </w:r>
            <w:r>
              <w:rPr>
                <w:b/>
                <w:color w:val="555555"/>
                <w:sz w:val="16"/>
              </w:rPr>
              <w:t>New Nurture Positive</w:t>
            </w:r>
          </w:p>
        </w:tc>
      </w:tr>
      <w:tr>
        <w:tc>
          <w:tcPr>
            <w:tcW w:type="dxa" w:w="7353"/>
          </w:tcPr>
          <w:p>
            <w:r>
              <w:rPr>
                <w:sz w:val="18"/>
              </w:rPr>
              <w:t>Afeto (Affect)</w:t>
            </w:r>
          </w:p>
        </w:tc>
        <w:tc>
          <w:tcPr>
            <w:tcW w:type="dxa" w:w="7353"/>
          </w:tcPr>
          <w:p>
            <w:r>
              <w:rPr>
                <w:sz w:val="18"/>
              </w:rPr>
              <w:t>Afeto (Affect)</w:t>
            </w:r>
          </w:p>
        </w:tc>
      </w:tr>
      <w:tr>
        <w:tc>
          <w:tcPr>
            <w:tcW w:type="dxa" w:w="7353"/>
          </w:tcPr>
          <w:p>
            <w:r>
              <w:rPr>
                <w:sz w:val="18"/>
              </w:rPr>
              <w:t>Comportamento (Behavior)</w:t>
            </w:r>
          </w:p>
        </w:tc>
        <w:tc>
          <w:tcPr>
            <w:tcW w:type="dxa" w:w="7353"/>
          </w:tcPr>
          <w:p>
            <w:r>
              <w:rPr>
                <w:sz w:val="18"/>
              </w:rPr>
              <w:t>Comportamento (Behavior)</w:t>
            </w:r>
          </w:p>
        </w:tc>
      </w:tr>
      <w:tr>
        <w:tc>
          <w:tcPr>
            <w:tcW w:type="dxa" w:w="7353"/>
          </w:tcPr>
          <w:p>
            <w:r>
              <w:rPr>
                <w:sz w:val="18"/>
              </w:rPr>
              <w:t>Cognição (Cognition)</w:t>
            </w:r>
          </w:p>
        </w:tc>
        <w:tc>
          <w:tcPr>
            <w:tcW w:type="dxa" w:w="7353"/>
          </w:tcPr>
          <w:p>
            <w:r>
              <w:rPr>
                <w:sz w:val="18"/>
              </w:rPr>
              <w:t>Cognição (Cognition)</w:t>
            </w:r>
          </w:p>
        </w:tc>
      </w:tr>
      <w:tr>
        <w:tc>
          <w:tcPr>
            <w:tcW w:type="dxa" w:w="7353"/>
          </w:tcPr>
          <w:p>
            <w:r>
              <w:rPr>
                <w:sz w:val="18"/>
              </w:rPr>
              <w:t>Ideal (Ideal)</w:t>
            </w:r>
          </w:p>
        </w:tc>
        <w:tc>
          <w:tcPr>
            <w:tcW w:type="dxa" w:w="7353"/>
          </w:tcPr>
          <w:p>
            <w:r>
              <w:rPr>
                <w:sz w:val="18"/>
              </w:rPr>
              <w:t>Ideal (Ideal)</w:t>
            </w:r>
          </w:p>
        </w:tc>
      </w:tr>
      <w:tr>
        <w:tc>
          <w:tcPr>
            <w:tcW w:type="dxa" w:w="7353"/>
          </w:tcPr>
          <w:p>
            <w:r>
              <w:rPr>
                <w:sz w:val="18"/>
              </w:rPr>
              <w:t>Situação (Situation)</w:t>
            </w:r>
          </w:p>
        </w:tc>
        <w:tc>
          <w:tcPr>
            <w:tcW w:type="dxa" w:w="7353"/>
          </w:tcPr>
          <w:p>
            <w:r>
              <w:rPr>
                <w:sz w:val="18"/>
              </w:rPr>
              <w:t>—</w:t>
            </w:r>
          </w:p>
        </w:tc>
      </w:tr>
      <w:tr>
        <w:tc>
          <w:tcPr>
            <w:tcW w:type="dxa" w:w="7353"/>
          </w:tcPr>
          <w:p>
            <w:r>
              <w:rPr>
                <w:sz w:val="18"/>
              </w:rPr>
              <w:t>Outro (Other)</w:t>
            </w:r>
          </w:p>
        </w:tc>
        <w:tc>
          <w:tcPr>
            <w:tcW w:type="dxa" w:w="7353"/>
          </w:tcPr>
          <w:p>
            <w:r>
              <w:rPr>
                <w:sz w:val="18"/>
              </w:rPr>
              <w:t>—</w:t>
            </w:r>
          </w:p>
        </w:tc>
      </w:tr>
    </w:tbl>
    <w:p>
      <w:pPr/>
    </w:p>
    <w:tbl>
      <w:tblPr>
        <w:tblW w:type="auto" w:w="0"/>
        <w:tblLayout w:type="fixed"/>
        <w:tblLook w:firstColumn="1" w:firstRow="1" w:lastColumn="0" w:lastRow="0" w:noHBand="0" w:noVBand="1" w:val="04A0"/>
      </w:tblPr>
      <w:tblGrid>
        <w:gridCol w:w="7353"/>
        <w:gridCol w:w="7353"/>
      </w:tblGrid>
      <w:tr>
        <w:tc>
          <w:tcPr>
            <w:tcW w:type="dxa" w:w="7353"/>
          </w:tcPr>
          <w:p>
            <w:r>
              <w:t>Um acrônimo para os novos temas poderia ser ABCD</w:t>
            </w:r>
            <w:r>
              <w:rPr>
                <w:rStyle w:val="FootnoteReference"/>
                <w:vertAlign w:val="superscript"/>
              </w:rPr>
              <w:footnoteReference w:id="1"/>
            </w:r>
            <w:r>
              <w:t>. D de ideal (ou, à la Vajrayana: deity yoga / yoga da divindade).</w:t>
            </w:r>
          </w:p>
        </w:tc>
        <w:tc>
          <w:tcPr>
            <w:tcW w:type="dxa" w:w="7353"/>
          </w:tcPr>
          <w:p>
            <w:r>
              <w:rPr>
                <w:color w:val="555555"/>
              </w:rPr>
              <w:t>An acronym for the new themes might be ABCD. D for ideal (or, à la Vajrayana: deity yoga).</w:t>
            </w:r>
          </w:p>
        </w:tc>
      </w:tr>
    </w:tbl>
    <w:p>
      <w:pPr>
        <w:pStyle w:val="Heading2"/>
      </w:pPr>
      <w:r>
        <w:t>A Antiga Terminologia Ainda Tem o Seu Lugar</w:t>
      </w:r>
    </w:p>
    <w:p>
      <w:pPr/>
      <w:r>
        <w:rPr>
          <w:color w:val="555555"/>
        </w:rPr>
        <w:t>Old Terminology Still Has a Place</w:t>
      </w:r>
    </w:p>
    <w:tbl>
      <w:tblPr>
        <w:tblW w:type="auto" w:w="0"/>
        <w:tblLayout w:type="fixed"/>
        <w:tblLook w:firstColumn="1" w:firstRow="1" w:lastColumn="0" w:lastRow="0" w:noHBand="0" w:noVBand="1" w:val="04A0"/>
      </w:tblPr>
      <w:tblGrid>
        <w:gridCol w:w="7353"/>
        <w:gridCol w:w="7353"/>
      </w:tblGrid>
      <w:tr>
        <w:tc>
          <w:tcPr>
            <w:tcW w:type="dxa" w:w="7353"/>
          </w:tcPr>
          <w:p>
            <w:r>
              <w:t>Termos como Ver Dentro, Ouvir Fora, Sentir Repouso, e afins, ainda têm o seu lugar no novo sistema – não tanto como rótulos, mas mais como uma abreviação conveniente para as frases explícitas mais longas. Uma vez que você se acostuma, “Ver Dentro” é mais fácil de dizer do que “imagem mental”, e soa mais legal ☺. Mas e quanto a usar esses termos para rotular, como no sistema antigo? Bem, como mencionado acima, não é mais o “padrão”, mas continua perfeitamente OK. O sistema antigo é compatível, de baixo para cima, com o novo.</w:t>
            </w:r>
          </w:p>
        </w:tc>
        <w:tc>
          <w:tcPr>
            <w:tcW w:type="dxa" w:w="7353"/>
          </w:tcPr>
          <w:p>
            <w:r>
              <w:rPr>
                <w:color w:val="555555"/>
              </w:rPr>
              <w:t>Terms like See In, Hear Out, Feel Rest, and such still have a place in the new system – not so much as labels, but more as convenient shorthand for the longer explicit phrases. Once you get used to it, “See In” is easier to say than “mental image” and sounds cooler ☺. But what about using such terms for labeling, like in the old system? Well, as mentioned above, it’s no longer “standard,” but it’s still perfectly okay. The old system is upwardly compatible with the new one.</w:t>
            </w:r>
          </w:p>
        </w:tc>
      </w:tr>
    </w:tbl>
    <w:p>
      <w:pPr>
        <w:pStyle w:val="Heading2"/>
      </w:pPr>
      <w:r>
        <w:t>Notar Explicitamente o “Passou” Não É Mais um Recurso Automático</w:t>
      </w:r>
    </w:p>
    <w:p>
      <w:pPr/>
      <w:r>
        <w:rPr>
          <w:color w:val="555555"/>
        </w:rPr>
        <w:t>Explicitly Noting “Gone” is No Longer an Automatic Feature</w:t>
      </w:r>
    </w:p>
    <w:tbl>
      <w:tblPr>
        <w:tblW w:type="auto" w:w="0"/>
        <w:tblLayout w:type="fixed"/>
        <w:tblLook w:firstColumn="1" w:firstRow="1" w:lastColumn="0" w:lastRow="0" w:noHBand="0" w:noVBand="1" w:val="04A0"/>
      </w:tblPr>
      <w:tblGrid>
        <w:gridCol w:w="7353"/>
        <w:gridCol w:w="7353"/>
      </w:tblGrid>
      <w:tr>
        <w:tc>
          <w:tcPr>
            <w:tcW w:type="dxa" w:w="7353"/>
          </w:tcPr>
          <w:p>
            <w:r>
              <w:t>No sistema antigo, você era encorajado a notar o passou sempre que percebesse algo desaparecer. No novo sistema, notar o passou é tratado como uma opção, assim como renotar, dar zoom, ou restringir o alcance de foco. Então, se o Passou está prontamente disponível e você assim deseja, você pode notá-lo explicitamente. O rótulo, é claro, é “Passou”.</w:t>
            </w:r>
          </w:p>
        </w:tc>
        <w:tc>
          <w:tcPr>
            <w:tcW w:type="dxa" w:w="7353"/>
          </w:tcPr>
          <w:p>
            <w:r>
              <w:rPr>
                <w:color w:val="555555"/>
              </w:rPr>
              <w:t>In the old system you were encouraged to note gone whenever you noticed anything vanish. In the new system, noting gone is treated as an option like re-noting, zooming, or restricting the focus range. So, if Gone is readily available and you so desire, you can explicitly note it. The label, of course, is “Gone.”</w:t>
            </w:r>
          </w:p>
        </w:tc>
      </w:tr>
    </w:tbl>
    <w:p>
      <w:pPr>
        <w:pStyle w:val="Heading2"/>
      </w:pPr>
      <w:r>
        <w:t>Não Fazer Nada Ainda Faz Parte do Sistema</w:t>
      </w:r>
    </w:p>
    <w:p>
      <w:pPr/>
      <w:r>
        <w:rPr>
          <w:color w:val="555555"/>
        </w:rPr>
        <w:t>Do Nothing is Still Part of the System</w:t>
      </w:r>
    </w:p>
    <w:tbl>
      <w:tblPr>
        <w:tblW w:type="auto" w:w="0"/>
        <w:tblLayout w:type="fixed"/>
        <w:tblLook w:firstColumn="1" w:firstRow="1" w:lastColumn="0" w:lastRow="0" w:noHBand="0" w:noVBand="1" w:val="04A0"/>
      </w:tblPr>
      <w:tblGrid>
        <w:gridCol w:w="7353"/>
        <w:gridCol w:w="7353"/>
      </w:tblGrid>
      <w:tr>
        <w:tc>
          <w:tcPr>
            <w:tcW w:type="dxa" w:w="7353"/>
          </w:tcPr>
          <w:p>
            <w:r>
              <w:t>As suas instruções permanecem inalteradas.</w:t>
            </w:r>
          </w:p>
        </w:tc>
        <w:tc>
          <w:tcPr>
            <w:tcW w:type="dxa" w:w="7353"/>
          </w:tcPr>
          <w:p>
            <w:r>
              <w:rPr>
                <w:color w:val="555555"/>
              </w:rPr>
              <w:t>Its instructions remain unchanged.</w:t>
            </w:r>
          </w:p>
        </w:tc>
      </w:tr>
    </w:tbl>
    <w:sectPr w:rsidR="00FC693F" w:rsidRPr="0006063C" w:rsidSect="00034616">
      <w:pgSz w:w="15840" w:h="12240"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vertAlign w:val="superscript"/>
        </w:rPr>
        <w:footnoteRef/>
      </w:r>
      <w:r>
        <w:rPr>
          <w:sz w:val="18"/>
        </w:rPr>
        <w:t xml:space="preserve"> [N.T.] O acrônimo ABCD vem do inglês: A de Affect (afeto), B de Behavior (comportamento), C de Cognition (cognição), D de Deity (a divindade/ideal). Em português, as iniciais seriam A-C-C-I.</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