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Eyebrow"/>
      </w:pPr>
      <w:r>
        <w:t xml:space="preserve">REPORTE DE ASEGURAMIENTO DE CALIDAD</w:t>
      </w:r>
    </w:p>
    <w:p>
      <w:pPr>
        <w:pStyle w:val="Title"/>
      </w:pPr>
      <w:r>
        <w:t xml:space="preserve">Flux Operadora</w:t>
      </w:r>
    </w:p>
    <w:p>
      <w:pPr>
        <w:pStyle w:val="TitleBlue"/>
      </w:pPr>
      <w:r>
        <w:t xml:space="preserve">Cortes Semanales</w:t>
      </w:r>
    </w:p>
    <w:p>
      <w:pPr>
        <w:pStyle w:val="Subtitle"/>
      </w:pPr>
      <w:r>
        <w:t>Validación integral del flujo de aprobación única por Dirección, reingresos y cierre QA v1.1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w="71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w="2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Ambiente</w:t>
            </w:r>
          </w:p>
        </w:tc>
        <w:tc>
          <w:tcPr>
            <w:tcW w:w="71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w="22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Fecha de ejecución</w:t>
            </w:r>
          </w:p>
        </w:tc>
        <w:tc>
          <w:tcPr>
            <w:tcW w:w="71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14 de julio de 2026</w:t>
            </w:r>
          </w:p>
        </w:tc>
      </w:tr>
      <w:tr>
        <w:tc>
          <w:tcPr>
            <w:tcW w:w="2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Versión del informe</w:t>
            </w:r>
          </w:p>
        </w:tc>
        <w:tc>
          <w:tcPr>
            <w:tcW w:w="71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1.1</w:t>
            </w:r>
          </w:p>
        </w:tc>
      </w:tr>
      <w:tr>
        <w:tc>
          <w:tcPr>
            <w:tcW w:w="22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Commit inicial de dev</w:t>
            </w:r>
          </w:p>
        </w:tc>
        <w:tc>
          <w:tcPr>
            <w:tcW w:w="71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0876623b37cc74bdf43bb42afea9a56207add210</w:t>
            </w:r>
          </w:p>
        </w:tc>
      </w:tr>
      <w:tr>
        <w:tc>
          <w:tcPr>
            <w:tcW w:w="2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Supabase DEV</w:t>
            </w:r>
          </w:p>
        </w:tc>
        <w:tc>
          <w:tcPr>
            <w:tcW w:w="71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scsirgbuqjcwoaxfacth</w:t>
            </w:r>
          </w:p>
        </w:tc>
      </w:tr>
      <w:tr>
        <w:tc>
          <w:tcPr>
            <w:tcW w:w="22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Responsables</w:t>
            </w:r>
          </w:p>
        </w:tc>
        <w:tc>
          <w:tcPr>
            <w:tcW w:w="71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20"/>
                <w:szCs w:val="20"/>
              </w:rPr>
              <w:t xml:space="preserve">Ramón Hipo / Codex QA</w:t>
            </w:r>
          </w:p>
        </w:tc>
      </w:tr>
    </w:tbl>
    <w:p>
      <w:pPr>
        <w:spacing w:after="100"/>
      </w:pPr>
    </w:p>
    <w:p>
      <w:pPr>
        <w:pBdr>
          <w:left w:val="single" w:sz="18" w:space="8" w:color="92400E"/>
        </w:pBdr>
        <w:shd w:val="clear" w:fill="FEF3C7"/>
        <w:ind w:left="180" w:right="180"/>
        <w:spacing w:before="100" w:after="40"/>
        <w:keepNext/>
      </w:pPr>
      <w:r>
        <w:rPr>
          <w:b/>
          <w:color w:val="92400E"/>
          <w:sz w:val="19"/>
          <w:szCs w:val="19"/>
        </w:rPr>
        <w:t xml:space="preserve">DICTAMEN</w:t>
      </w:r>
    </w:p>
    <w:p>
      <w:pPr>
        <w:pBdr>
          <w:left w:val="single" w:sz="18" w:space="8" w:color="92400E"/>
        </w:pBdr>
        <w:shd w:val="clear" w:fill="FEF3C7"/>
        <w:ind w:left="180" w:right="180"/>
        <w:spacing w:before="0" w:after="160"/>
      </w:pPr>
      <w:r>
        <w:rPr>
          <w:color w:val="111827"/>
          <w:sz w:val="20"/>
          <w:szCs w:val="20"/>
        </w:rPr>
        <w:t xml:space="preserve">Aprobado para continuar en DEV. No aprobado para promoción a producción hasta cerrar los casos bloqueados y la auditoría read-only de notificaciones.</w:t>
      </w:r>
    </w:p>
    <w:p>
      <w:pPr>
        <w:pStyle w:val="Normal"/>
      </w:pPr>
      <w:r>
        <w:rPr>
          <w:i/>
          <w:color w:val="5B6472"/>
          <w:sz w:val="18"/>
          <w:szCs w:val="18"/>
        </w:rPr>
        <w:t xml:space="preserve">Documento confidencial de trabajo interno. No acredita ejecución de pagos ni autorización de producción.</w:t>
      </w:r>
    </w:p>
    <w:p>
      <w:r>
        <w:br w:type="page"/>
      </w:r>
    </w:p>
    <w:p>
      <w:pPr>
        <w:pStyle w:val="Heading1"/>
      </w:pPr>
      <w:r>
        <w:t xml:space="preserve">Índice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300"/>
        <w:gridCol w:w="8060"/>
      </w:tblGrid>
      <w:tr>
        <w:trPr>
          <w:tblHeader/>
        </w:trPr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w="80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Resumen ejecutivo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Modelo funcional validado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Ambiente y trazabilidad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Datos controlados utilizados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Matriz completa de pruebas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Evidencias funcionales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Historial de reingreso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Seguridad y roles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Concurrencia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Responsive y accesibilidad visual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Contraste y modales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Defectos y hallazgos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Regresión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Notificaciones read-only</w:t>
            </w:r>
          </w:p>
        </w:tc>
      </w:tr>
      <w:tr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w="80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Riesgos residuales</w:t>
            </w:r>
          </w:p>
        </w:tc>
      </w:tr>
      <w:tr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w="80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8"/>
                <w:szCs w:val="18"/>
              </w:rPr>
              <w:t xml:space="preserve">Conclusión y recomendación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0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Addendum de cierre QA v1.1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pStyle w:val="Normal"/>
      </w:pPr>
      <w:r>
        <w:t xml:space="preserve">El objetivo fue validar directamente en DEV que una solicitud enviada con presupuesto disponible puede incorporarse a un corte sin aprobación individual de Finanzas; que Dirección es la única aprobación humana regular; y que rechazos, correcciones, reenvíos y nuevas decisiones preservan historial y control de concurrencia.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100" w:after="40"/>
        <w:keepNext/>
      </w:pPr>
      <w:r>
        <w:rPr>
          <w:b/>
          <w:color w:val="166534"/>
          <w:sz w:val="19"/>
          <w:szCs w:val="19"/>
        </w:rPr>
        <w:t xml:space="preserve">RESULTADO GLOBAL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0" w:after="160"/>
      </w:pPr>
      <w:r>
        <w:t>17 PASS, 0 FAIL y 3 BLOCKED de 20 casos funcionales. BATCH-014 quedó cerrado con autorización y revocación controladas. BATCH-012/013 revelaron un bloqueo de compatibilidad entre payment_method y el RPC de fondos; BATCH-017 continúa bloqueado porque DEV no tiene perfiles con nivel Operativo.</w:t>
      </w:r>
    </w:p>
    <w:p>
      <w:pPr>
        <w:pStyle w:val="Heading2"/>
      </w:pPr>
      <w:r>
        <w:t xml:space="preserve">Recomendación</w:t>
      </w:r>
    </w:p>
    <w:p>
      <w:pPr>
        <w:pStyle w:val="Normal"/>
      </w:pPr>
      <w:r>
        <w:t>Continuar la estabilización en DEV. No promover a PROD. Mantener el PR #252 como Draft hasta resolver el gate cash/check en una migration 026 o posterior, contar con una sesión de Dirección, ejecutar la auditoría read-only y completar el retest autenticado del preview.</w:t>
      </w:r>
    </w:p>
    <w:p>
      <w:pPr>
        <w:pStyle w:val="Heading1"/>
      </w:pPr>
      <w:r>
        <w:t xml:space="preserve">2. Modelo funcional validado</w:t>
      </w:r>
    </w:p>
    <w:p>
      <w:pPr>
        <w:pBdr>
          <w:left w:val="single" w:sz="18" w:space="8" w:color="0B2545"/>
        </w:pBdr>
        <w:shd w:val="clear" w:fill="EAF2F8"/>
        <w:ind w:left="180" w:right="180"/>
        <w:spacing w:before="100" w:after="40"/>
        <w:keepNext/>
      </w:pPr>
      <w:r>
        <w:rPr>
          <w:b/>
          <w:color w:val="0B2545"/>
          <w:sz w:val="19"/>
          <w:szCs w:val="19"/>
        </w:rPr>
        <w:t xml:space="preserve">FLUJO OBJETIVO</w:t>
      </w:r>
    </w:p>
    <w:p>
      <w:pPr>
        <w:pBdr>
          <w:left w:val="single" w:sz="18" w:space="8" w:color="0B2545"/>
        </w:pBdr>
        <w:shd w:val="clear" w:fill="EAF2F8"/>
        <w:ind w:left="180" w:right="180"/>
        <w:spacing w:before="0" w:after="160"/>
      </w:pPr>
      <w:r>
        <w:rPr>
          <w:color w:val="111827"/>
          <w:sz w:val="20"/>
          <w:szCs w:val="20"/>
        </w:rPr>
        <w:t xml:space="preserve">Solicitante → validación automática de presupuesto → Finanzas prepara corte → Dirección decide → Finanzas libera → ejecución controlada.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La validación automática de presupuesto no equivale a aprobación humana de Finanzas.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Dirección aprueba o rechaza cada solicitud regular y puede volver a decidir un reingreso.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Finanzas arma el corte, administra reenvíos, libera y conserva excepciones/extraordinarios.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Layouts, efectivo y cheque solo consumen solicitudes liberadas y con datos completos.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El historial de cada revisión permanece inmutable y solo una decisión queda vigente.</w:t>
      </w:r>
    </w:p>
    <w:p>
      <w:pPr>
        <w:pStyle w:val="Heading1"/>
      </w:pPr>
      <w:r>
        <w:t xml:space="preserve">3. Ambiente y trazabilidad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2450"/>
        <w:gridCol w:w="6910"/>
      </w:tblGrid>
      <w:tr>
        <w:trPr>
          <w:tblHeader/>
        </w:trPr>
        <w:tc>
          <w:tcPr>
            <w:tcW w:w="24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w="691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Repositorio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ramon1415/catalogo-proveedores-flux</w:t>
            </w:r>
          </w:p>
        </w:tc>
      </w:tr>
      <w:t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Branch objetivo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dev</w:t>
            </w:r>
          </w:p>
        </w:tc>
      </w:tr>
      <w:t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PR funcional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#249 — Fix batch eligibility, resubmission review and weekly batch UX</w:t>
            </w:r>
          </w:p>
        </w:tc>
      </w:tr>
      <w:t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Merge #249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683dedad0a91a98066d44dbca64e00fa08264946</w:t>
            </w:r>
          </w:p>
        </w:tc>
      </w:tr>
      <w:t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PR correctivo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#250 — Allow fully rejected approval batches</w:t>
            </w:r>
          </w:p>
        </w:tc>
      </w:tr>
      <w:t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Merge #250 / dev final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0876623b37cc74bdf43bb42afea9a56207add210</w:t>
            </w:r>
          </w:p>
        </w:tc>
      </w:tr>
      <w:t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Vercel DEV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SUCCESS — deployment 65QPDRMVmpKR5fKGJVkXMoYyRceG</w:t>
            </w:r>
          </w:p>
        </w:tc>
      </w:tr>
      <w:t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URL DEV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https://catalogo-proveedores-flux-git-dev-quantta-team.vercel.app/</w:t>
            </w:r>
          </w:p>
        </w:tc>
      </w:tr>
      <w:t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Supabase DEV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scsirgbuqjcwoaxfacth</w:t>
            </w:r>
          </w:p>
        </w:tc>
      </w:tr>
      <w:t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Navegador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Chrome/Chromium con sesión autenticada de DEV</w:t>
            </w:r>
          </w:p>
        </w:tc>
      </w:tr>
      <w:t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Resoluciones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1366×768, 768×1024, 390×844</w:t>
            </w:r>
          </w:p>
        </w:tc>
      </w:tr>
      <w:t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Roles usados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Finanzas: Ramón Hipo; Dirección: Ramón</w:t>
            </w:r>
          </w:p>
        </w:tc>
      </w:tr>
      <w:tr>
        <w:tc>
          <w:tcPr>
            <w:tcW w:w="24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Migration 023 SHA-256</w:t>
            </w:r>
          </w:p>
        </w:tc>
        <w:tc>
          <w:tcPr>
            <w:tcW w:w="69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B25F792EB26297040D93F91EC83E20B329EF8485C87EE55B9DDF5352B4FB21AF</w:t>
            </w:r>
          </w:p>
        </w:tc>
      </w:tr>
      <w:tr>
        <w:tc>
          <w:tcPr>
            <w:tcW w:w="24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Migration 024 SHA-256</w:t>
            </w:r>
          </w:p>
        </w:tc>
        <w:tc>
          <w:tcPr>
            <w:tcW w:w="69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7"/>
                <w:szCs w:val="17"/>
              </w:rPr>
              <w:t xml:space="preserve">FDD2CAB45C232047953EF0839B715EB807443D9DBEF8FA8D2C59DBB29C02DCC4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 cierre QA</w:t>
            </w:r>
          </w:p>
        </w:tc>
        <w:tc>
          <w:tcPr>
            <w:tcW w:type="dxa" w:w="69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#252 — Close remaining batch QA coverage and UX findings (Draft)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Branch</w:t>
            </w:r>
          </w:p>
        </w:tc>
        <w:tc>
          <w:tcPr>
            <w:tcW w:type="dxa" w:w="69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fix/ramon-batch-qa-closure-p2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Commit de correcciones</w:t>
            </w:r>
          </w:p>
        </w:tc>
        <w:tc>
          <w:tcPr>
            <w:tcW w:type="dxa" w:w="69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9ec2a920f3bec3fb338beab5c5ff3ad8a8a954fa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Vercel Preview</w:t>
            </w:r>
          </w:p>
        </w:tc>
        <w:tc>
          <w:tcPr>
            <w:tcW w:type="dxa" w:w="69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SUCCESS — https://catalogo-proveedores-flux-git-fix-ramon-bat-b13163-quantta-team.vercel.app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69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 cambios; migration 025 no creada ni modificada</w:t>
            </w:r>
          </w:p>
        </w:tc>
      </w:tr>
      <w:tr>
        <w:trPr>
          <w:cantSplit/>
        </w:trPr>
        <w:tc>
          <w:tcPr>
            <w:tcW w:type="dxa" w:w="2450"/>
          </w:tcPr>
          <w:p>
            <w:r>
              <w:t>Commit final / merge</w:t>
            </w:r>
          </w:p>
        </w:tc>
        <w:tc>
          <w:tcPr>
            <w:tcW w:type="dxa" w:w="6910"/>
          </w:tcPr>
          <w:p>
            <w:r>
              <w:t>No existe: PR #252 permanece Draft por BATCH-012, BATCH-013, BATCH-017 y la auditoría read-only de notification_events pendientes.</w:t>
            </w:r>
          </w:p>
        </w:tc>
      </w:tr>
      <w:tr>
        <w:trPr>
          <w:cantSplit/>
        </w:trPr>
        <w:tc>
          <w:tcPr>
            <w:tcW w:type="dxa" w:w="2450"/>
          </w:tcPr>
          <w:p>
            <w:r>
              <w:t>Render v1.1</w:t>
            </w:r>
          </w:p>
        </w:tc>
        <w:tc>
          <w:tcPr>
            <w:tcW w:type="dxa" w:w="6910"/>
          </w:tcPr>
          <w:p>
            <w:r>
              <w:t>BLOCKED en el entorno local: render_docx no encontró LibreOffice y Word no produjo el PDF. Las auditorías OOXML, de secciones, estilos, imágenes y campos sí se ejecutaron; no se afirma revisión visual página por página.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Validaciones estáticas</w:t>
      </w:r>
    </w:p>
    <w:p>
      <w:pPr>
        <w:pStyle w:val="Normal"/>
        <w:numPr>
          <w:ilvl w:val="0"/>
          <w:numId w:val="1"/>
        </w:numPr>
        <w:spacing w:after="80"/>
      </w:pPr>
      <w:r>
        <w:t>node --check pasó para approval_batches.js, layouts.js, cash_flow_extension.js y solicitudes_workboard_extension.js. También pasaron IDs HTML únicos, ausencia de diálogos nativos en los módulos intervenidos y git diff --check.</w:t>
      </w:r>
    </w:p>
    <w:p>
      <w:pPr>
        <w:pStyle w:val="Normal"/>
        <w:numPr>
          <w:ilvl w:val="0"/>
          <w:numId w:val="1"/>
        </w:numPr>
        <w:spacing w:after="80"/>
      </w:pPr>
      <w:r>
        <w:t>El PR #252, “Close remaining batch QA coverage and UX findings”, está abierto como Draft hacia dev. Vercel Preview terminó SUCCESS para el commit de correcciones 9ec2a920f3bec3fb338beab5c5ff3ad8a8a954fa.</w:t>
      </w:r>
    </w:p>
    <w:p>
      <w:pPr>
        <w:pStyle w:val="Normal"/>
        <w:numPr>
          <w:ilvl w:val="0"/>
          <w:numId w:val="1"/>
        </w:numPr>
        <w:spacing w:after="80"/>
      </w:pPr>
      <w:r>
        <w:t>El repositorio se validó con Git disponible en el runtime local. origin/dev permanecía en 0876623b37cc74bdf43bb42afea9a56207add210 al crear la rama de cierre.</w:t>
      </w:r>
    </w:p>
    <w:p>
      <w:pPr>
        <w:pStyle w:val="Heading1"/>
      </w:pPr>
      <w:r>
        <w:t xml:space="preserve">4. Datos controlados utilizados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500"/>
        <w:gridCol w:w="1250"/>
        <w:gridCol w:w="900"/>
        <w:gridCol w:w="1250"/>
        <w:gridCol w:w="4460"/>
      </w:tblGrid>
      <w:tr>
        <w:trPr>
          <w:tblHeader/>
        </w:trPr>
        <w:tc>
          <w:tcPr>
            <w:tcW w:w="15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Folio</w:t>
            </w:r>
          </w:p>
        </w:tc>
        <w:tc>
          <w:tcPr>
            <w:tcW w:w="12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w="9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Monto</w:t>
            </w:r>
          </w:p>
        </w:tc>
        <w:tc>
          <w:tcPr>
            <w:tcW w:w="12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Presupuesto</w:t>
            </w:r>
          </w:p>
        </w:tc>
        <w:tc>
          <w:tcPr>
            <w:tcW w:w="44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SOL-2026-0068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Transferencia</w:t>
            </w:r>
          </w:p>
        </w:tc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$101.01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Aprobada y liberada; cambio material creó revisión 2</w:t>
            </w:r>
          </w:p>
        </w:tc>
      </w:tr>
      <w:tr>
        <w:tc>
          <w:tcPr>
            <w:tcW w:w="15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SOL-2026-0069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Transferencia</w:t>
            </w:r>
          </w:p>
        </w:tc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$202.02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 y reenviada; historial de revisiones preservado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SOL-2026-0070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Efectivo</w:t>
            </w:r>
          </w:p>
        </w:tc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$303.03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Aprobada y liberada; gate final no ejecutado</w:t>
            </w:r>
          </w:p>
        </w:tc>
      </w:tr>
      <w:tr>
        <w:tc>
          <w:tcPr>
            <w:tcW w:w="15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SOL-2026-0071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Cheque</w:t>
            </w:r>
          </w:p>
        </w:tc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$404.04</w:t>
            </w:r>
          </w:p>
        </w:tc>
        <w:tc>
          <w:tcPr>
            <w:tcW w:w="1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</w:t>
            </w:r>
          </w:p>
        </w:tc>
        <w:tc>
          <w:tcPr>
            <w:tcW w:w="44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Aprobada y liberada; entrega final no ejecutada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SOL-2026-0072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Transferencia</w:t>
            </w:r>
          </w:p>
        </w:tc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$505.05</w:t>
            </w:r>
          </w:p>
        </w:tc>
        <w:tc>
          <w:tcPr>
            <w:tcW w:w="1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Insuficiente</w:t>
            </w:r>
          </w:p>
        </w:tc>
        <w:tc>
          <w:tcPr>
            <w:tcW w:w="44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Excluida con motivo visible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SOL-2026-0073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Efectivo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$12.12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Disponible</w:t>
            </w:r>
          </w:p>
        </w:tc>
        <w:tc>
          <w:tcPr>
            <w:tcW w:type="dxa" w:w="44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Corte enviado; gate positivo bloqueado por RPC legado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SOL-2026-0074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Cheque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$13.13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Disponible</w:t>
            </w:r>
          </w:p>
        </w:tc>
        <w:tc>
          <w:tcPr>
            <w:tcW w:type="dxa" w:w="44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Corte enviado; gate positivo bloqueado por RPC legado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SOL-2026-0075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Transferencia extraordinaria</w:t>
            </w:r>
          </w:p>
        </w:tc>
        <w:tc>
          <w:tcPr>
            <w:tcW w:type="dxa" w:w="90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$14.14</w:t>
            </w:r>
          </w:p>
        </w:tc>
        <w:tc>
          <w:tcPr>
            <w:tcW w:type="dxa" w:w="125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Disponible</w:t>
            </w:r>
          </w:p>
        </w:tc>
        <w:tc>
          <w:tcPr>
            <w:tcW w:type="dxa" w:w="446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Autorizada y revocada antes de materializar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Matriz completa de pruebas</w:t>
      </w:r>
    </w:p>
    <w:p>
      <w:pPr>
        <w:pStyle w:val="Normal"/>
      </w:pPr>
      <w:r>
        <w:rPr>
          <w:i/>
          <w:color w:val="5B6472"/>
          <w:sz w:val="18"/>
          <w:szCs w:val="18"/>
        </w:rPr>
        <w:t xml:space="preserve">Estado permitido: PASS, FAIL, BLOCKED o NOT APPLICABLE. Ningún caso parcial se clasificó como PASS.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900"/>
        <w:gridCol w:w="1700"/>
        <w:gridCol w:w="2350"/>
        <w:gridCol w:w="2550"/>
        <w:gridCol w:w="850"/>
        <w:gridCol w:w="1010"/>
      </w:tblGrid>
      <w:tr>
        <w:trPr>
          <w:tblHeader/>
        </w:trPr>
        <w:tc>
          <w:tcPr>
            <w:tcW w:w="9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w="17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Escenario / precondición</w:t>
            </w:r>
          </w:p>
        </w:tc>
        <w:tc>
          <w:tcPr>
            <w:tcW w:w="23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Pasos / esperado</w:t>
            </w:r>
          </w:p>
        </w:tc>
        <w:tc>
          <w:tcPr>
            <w:tcW w:w="25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Resultado / evidencia</w:t>
            </w:r>
          </w:p>
        </w:tc>
        <w:tc>
          <w:tcPr>
            <w:tcW w:w="8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w="101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4"/>
                <w:szCs w:val="14"/>
              </w:rPr>
              <w:t xml:space="preserve">Defecto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BATCH-001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nueva con presupuesto. Enviada y disponible.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Crear, enviar, abrir corte y agregar. Esperado: elegible sin aprobación de Finanzas.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SOL-0068 visible con Presupuesto disponible y agregada. Evidencia 01, 02, 04.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BATCH-002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sin presupuesto suficiente.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Crear y revisar elegibilidad. Esperado: motivo visible y sin forzar agregado.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SOL-0072 excluida con Presupuesto insuficiente. Evidencia 03, 23.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BATCH-003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Corte con solicitudes elegibles.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Enviar, aprobar en Dirección y liberar. Esperado: Dirección final.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3 aprobadas, 1 rechazada; corte liberado. Evidencia 05, 06, 42.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BATCH-004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Rechazo parcial en corte de 4 solicitudes.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Aprobar 3 y rechazar 1 con motivo. Esperado: resumen 3/1.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Motivo y desglose visibles en Cortes/Layout. Evidencia 06, 08, 42.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BATCH-005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Item rechazado con batch destino.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Capturar corrección y elegir draft. Esperado: mismo request e histórico intacto.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SOL-0069 ingresó al segundo batch como revisión 2. Evidencia 09–11.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BATCH-006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Segundo batch enviado a Dirección.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y volver a decidir. Esperado: badge reenviada y decisión habilitada.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Revisión 2 mostró motivo/corrección y fue decidida. Evidencia 11–13.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DEF-001 cerrado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BATCH-007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Item rechazado sin batch destino.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Reenviar sin seleccionar draft. Esperado: disponible para Finanzas.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SOL-0069 reapareció elegible y no se envió sola. Evidencia 14–16.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BATCH-008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Revisión 2 rechazada.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Reenviar, enviar y rechazar otra vez. Esperado: revisión 3 e histórico intacto.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Revisiones 1/2/3 visibles y una vigente. Evidencia 17–20.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BATCH-009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aprobada/liberada con cambio material.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Cambiar fecha/referencia/concepto. Esperado: invalidar y revalidar.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SOL-0068 volvió a pendiente y revisión 2; fuera de layout. Evidencia 21–23.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BATCH-010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Existe solicitud rechazada.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Nuevo layout y detalle. Esperado: contador y detalle accionable.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Rechazada visible con motivo, director, corte y reingreso. Evidencia 08.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BATCH-011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autorizada sin datos bancarios completos.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Nuevo layout y completar. Esperado: no entra, pero aparece accionable.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Detalle Datos por completar disponible sin perder autorización. Evidencia 08, 23.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BATCH-012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SOL-0070 en efectivo con presupuesto.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Agregar, decidir y liberar. Esperado: gate cash_funds respeta decisión.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SOL-0073 creada y agregada al corte QA; envío a Dirección confirmado. El detalle legacy no reconocía payment_method=cash y el RPC create_cash_fund exige request_type=cash/check. Sin cash_fund.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BLOCKED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DB: gate legado; requiere 026+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BATCH-013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SOL-0071 cheque con presupuesto.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Agregar, decidir y liberar. Esperado: gate de cheque respeta decisión.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SOL-0074 creada y agregada al corte QA; envío a Dirección confirmado. cash_funds.delivery_method=check es el modelo real, pero el RPC no acepta el request_type canónico. Sin fondo ni entrega.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BLOCKED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DB: gate legado; requiere 026+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BATCH-014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Solicitud extraordinaria elegible y controlada.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Abrir modal y validar guard negativo. Esperado: Finanzas puede; rechazo no se omite.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SOL-0075 autorizada por Ramón Hipo como Servicio crítico; badge, actor, fecha y motivo visibles. Revocación permitida antes de cualquier materialización; la opción volvió a estar disponible.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—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BATCH-015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Misma solicitud en dos drafts.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Agregar desde dos sesiones. Esperado: solo una gana.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Segundo intento: Ya pertenece a otro corte abierto. Evidencia 24.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BATCH-016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Mismo rechazo en dos sesiones.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Reenviar desde ambas. Esperado: una gana, una falla y un item pending.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Un solo reingreso/corrección quedó vigente. Evidencia 25.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BATCH-017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Credenciales Finanzas/Dirección/Solicitante.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Verificar acciones por rol. Esperado: separación completa.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Configuración → Sistema, filtro Operativo: Sin resultados. No se creó usuario ni se alteraron permisos.</w:t>
            </w:r>
          </w:p>
        </w:tc>
        <w:tc>
          <w:tcPr>
            <w:tcW w:w="850" w:type="dxa"/>
            <w:shd w:val="clear" w:color="auto" w:fill="FEF3C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BLOCKED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Cobertura: credencial solicitante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BATCH-018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Listas de 3/10/25 items y viewports reales.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Probar 1366, 768 y 390. Esperado: scroll usable y sin trampa.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window.innerWidth confirmado; body sin overflow horizontal. Evidencia 39–41.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BATCH-019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Modales y tema del flujo.</w:t>
            </w:r>
          </w:p>
        </w:tc>
        <w:tc>
          <w:tcPr>
            <w:tcW w:w="23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Revisar siete modales, contraste y focus.</w:t>
            </w:r>
          </w:p>
        </w:tc>
        <w:tc>
          <w:tcPr>
            <w:tcW w:w="25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Modales coherentes en claro/oscuro; métodos traducidos. Evidencia 08, 29, 38.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w="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BATCH-020</w:t>
            </w:r>
          </w:p>
        </w:tc>
        <w:tc>
          <w:tcPr>
            <w:tcW w:w="17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DEV final desplegado.</w:t>
            </w:r>
          </w:p>
        </w:tc>
        <w:tc>
          <w:tcPr>
            <w:tcW w:w="23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Smoke de proveedores, ingresos, layouts, CSF, efectivo, tema e histórico.</w:t>
            </w:r>
          </w:p>
        </w:tc>
        <w:tc>
          <w:tcPr>
            <w:tcW w:w="25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Módulos cargaron; PAGOSINT/CSF/tema/histórico visibles. Evidencia 31–35, 37, 42.</w:t>
            </w:r>
          </w:p>
        </w:tc>
        <w:tc>
          <w:tcPr>
            <w:tcW w:w="850" w:type="dxa"/>
            <w:shd w:val="clear" w:color="auto" w:fill="DCFCE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166534"/>
                <w:sz w:val="14"/>
                <w:szCs w:val="14"/>
              </w:rPr>
              <w:t xml:space="preserve">PASS</w:t>
            </w:r>
          </w:p>
        </w:tc>
        <w:tc>
          <w:tcPr>
            <w:tcW w:w="10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4"/>
                <w:szCs w:val="14"/>
              </w:rPr>
              <w:t xml:space="preserve">P2 consola no bloqueante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6. Evidencias funcionales</w:t>
      </w:r>
    </w:p>
    <w:p>
      <w:pPr>
        <w:jc w:val="center"/>
        <w:spacing w:after="80"/>
      </w:pPr>
      <w:r>
        <w:drawing>
          <wp:inline distT="0" distB="0" distL="0" distR="0">
            <wp:extent cx="6126480" cy="2931616"/>
            <wp:effectExtent l="0" t="0" r="0" b="0"/>
            <wp:docPr id="101" name="image1.png" descr="Figura 1. Finanzas: solicitudes elegibles con disponibilidad presupuestal vis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1. Finanzas: solicitudes elegibles con disponibilidad presupuestal visible.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9887"/>
            <wp:effectExtent l="0" t="0" r="0" b="0"/>
            <wp:docPr id="102" name="image2.png" descr="Figura 2. Corte draft con cuatro solicitudes y scroll interno horizontal/vertic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2. Corte draft con cuatro solicitudes y scroll interno horizontal/vertical.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3" name="image3.png" descr="Figura 3. Dirección: decisión parcial guardada, resumen 3 aprobadas / 1 rechaz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3. Dirección: decisión parcial guardada, resumen 3 aprobadas / 1 rechazada.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9887"/>
            <wp:effectExtent l="0" t="0" r="0" b="0"/>
            <wp:docPr id="104" name="image4.png" descr="Figura 4. Finanzas: corte liberado, tres pagos pueden continuar y uno permanece rechaz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4. Finanzas: corte liberado, tres pagos pueden continuar y uno permanece rechazado.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5" name="image5.png" descr="Figura 5. Nuevo layout: rechazadas y datos por completar identificados en el resum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5. Nuevo layout: rechazadas y datos por completar identificados en el resumen.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6" name="image6.png" descr="Figura 6. Reenvío con batch destino y corrección document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6. Reenvío con batch destino y corrección documentada.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7" name="image7.png" descr="Figura 7. Segunda revisión ante Dirección con contexto históri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7. Segunda revisión ante Dirección con contexto histórico.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8" name="image8.png" descr="Figura 8. Tercera revisión rechazada; cierre completamente rechazado habilitado por hotfi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8. Tercera revisión rechazada; cierre completamente rechazado habilitado por hotfix.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09" name="image9.png" descr="Figura 9. Historial de revisión 1 preservado después de la tercera deci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9. Historial de revisión 1 preservado después de la tercera decisión.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10" name="image10.png" descr="Figura 10. Cambio material invalida la autorización ante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10. Cambio material invalida la autorización anterior.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11" name="image11.png" descr="Figura 11. Solicitud modificada excluida del layout hasta completar datos y nueva autoriz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11. Solicitud modificada excluida del layout hasta completar datos y nueva autorización.</w:t>
      </w:r>
    </w:p>
    <w:p>
      <w:r>
        <w:br w:type="page"/>
      </w:r>
    </w:p>
    <w:p>
      <w:pPr>
        <w:pStyle w:val="Heading1"/>
      </w:pPr>
      <w:r>
        <w:t xml:space="preserve">7. Historial de reingreso</w:t>
      </w:r>
    </w:p>
    <w:p>
      <w:pPr>
        <w:pStyle w:val="Normal"/>
      </w:pPr>
      <w:r>
        <w:t xml:space="preserve">La solicitud SOL-2026-0069 fue el hilo de prueba. El rechazo original quedó en QA-BATCH-023-CORTE-20260713; la corrección se envió al segundo corte; una nueva corrección generó la revisión 3; y cada item histórico conservó motivo, corrección, batch y decisión. La revisión vigente fue única en cada etapa.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100"/>
        <w:gridCol w:w="2650"/>
        <w:gridCol w:w="1300"/>
        <w:gridCol w:w="1900"/>
        <w:gridCol w:w="2410"/>
      </w:tblGrid>
      <w:tr>
        <w:trPr>
          <w:tblHeader/>
        </w:trPr>
        <w:tc>
          <w:tcPr>
            <w:tcW w:w="11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Revisión</w:t>
            </w:r>
          </w:p>
        </w:tc>
        <w:tc>
          <w:tcPr>
            <w:tcW w:w="26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Corte</w:t>
            </w:r>
          </w:p>
        </w:tc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w="19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Motivo</w:t>
            </w:r>
          </w:p>
        </w:tc>
        <w:tc>
          <w:tcPr>
            <w:tcW w:w="241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Corrección / estado</w:t>
            </w:r>
          </w:p>
        </w:tc>
      </w:tr>
      <w:tr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1</w:t>
            </w:r>
          </w:p>
        </w:tc>
        <w:tc>
          <w:tcPr>
            <w:tcW w:w="2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QA-BATCH-023-CORTE-20260713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Corregir referencia de pago</w:t>
            </w:r>
          </w:p>
        </w:tc>
        <w:tc>
          <w:tcPr>
            <w:tcW w:w="24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Referencia revisada y preparada</w:t>
            </w:r>
          </w:p>
        </w:tc>
      </w:tr>
      <w:tr>
        <w:tc>
          <w:tcPr>
            <w:tcW w:w="11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2</w:t>
            </w:r>
          </w:p>
        </w:tc>
        <w:tc>
          <w:tcPr>
            <w:tcW w:w="2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Corte Operadora 1 3 Julio 2028 v2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</w:t>
            </w:r>
          </w:p>
        </w:tc>
        <w:tc>
          <w:tcPr>
            <w:tcW w:w="1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Decisión de segunda revisión</w:t>
            </w:r>
          </w:p>
        </w:tc>
        <w:tc>
          <w:tcPr>
            <w:tcW w:w="24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Reingreso sin batch destino</w:t>
            </w:r>
          </w:p>
        </w:tc>
      </w:tr>
      <w:tr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3</w:t>
            </w:r>
          </w:p>
        </w:tc>
        <w:tc>
          <w:tcPr>
            <w:tcW w:w="2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QA-BATCH-023-REVISION-3-20260713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Rechazada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Dato corregido aún no cumple</w:t>
            </w:r>
          </w:p>
        </w:tc>
        <w:tc>
          <w:tcPr>
            <w:tcW w:w="241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Corrección concurrente única</w:t>
            </w:r>
          </w:p>
        </w:tc>
      </w:tr>
      <w:tr>
        <w:tc>
          <w:tcPr>
            <w:tcW w:w="11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Revisión 4</w:t>
            </w:r>
          </w:p>
        </w:tc>
        <w:tc>
          <w:tcPr>
            <w:tcW w:w="2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Disponible en Finanzas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Pendiente de nuevo corte</w:t>
            </w:r>
          </w:p>
        </w:tc>
        <w:tc>
          <w:tcPr>
            <w:tcW w:w="19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Historial 1/2/3 conservado</w:t>
            </w:r>
          </w:p>
        </w:tc>
        <w:tc>
          <w:tcPr>
            <w:tcW w:w="241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Una sola decisión vigente</w:t>
            </w:r>
          </w:p>
        </w:tc>
      </w:tr>
    </w:tbl>
    <w:p>
      <w:pPr>
        <w:spacing w:after="100"/>
      </w:pPr>
    </w:p>
    <w:p>
      <w:pPr>
        <w:jc w:val="center"/>
        <w:spacing w:after="80"/>
      </w:pPr>
      <w:r>
        <w:drawing>
          <wp:inline distT="0" distB="0" distL="0" distR="0">
            <wp:extent cx="6126480" cy="2768084"/>
            <wp:effectExtent l="0" t="0" r="0" b="0"/>
            <wp:docPr id="112" name="image12.png" descr="Figura 12. Revisión 2 sin sobrescritura después de la tercera revi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12. Revisión 2 sin sobrescritura después de la tercera revisión.</w:t>
      </w:r>
    </w:p>
    <w:p>
      <w:r>
        <w:br w:type="page"/>
      </w:r>
    </w:p>
    <w:p>
      <w:pPr>
        <w:pStyle w:val="Heading1"/>
      </w:pPr>
      <w:r>
        <w:t xml:space="preserve">8. Seguridad y roles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Finanzas creó, armó, reenvió y liberó cortes sin aprobar individualmente cada solicitud.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Dirección decidió cortes asignados y pudo volver a decidir reingresos.</w:t>
      </w:r>
    </w:p>
    <w:p>
      <w:pPr>
        <w:pStyle w:val="Normal"/>
        <w:numPr>
          <w:ilvl w:val="0"/>
          <w:numId w:val="1"/>
        </w:numPr>
        <w:spacing w:after="80"/>
      </w:pPr>
      <w:r>
        <w:t>La inspección read-only de Configuración → Sistema devolvió “Sin resultados” para el filtro Operativo. BATCH-017 permanece BLOCKED; no se creó ni se modificó ningún usuario o rol.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No se ejecutaron pagos reales, no se descargaron archivos para banco y no se eliminaron datos QA.</w:t>
      </w:r>
    </w:p>
    <w:p>
      <w:pPr>
        <w:pStyle w:val="Normal"/>
        <w:numPr>
          <w:ilvl w:val="0"/>
          <w:numId w:val="1"/>
        </w:numPr>
        <w:spacing w:after="80"/>
      </w:pPr>
      <w:r>
        <w:t xml:space="preserve">No se usó service_role en frontend ni se tocaron RLS, secrets o variables durante QA.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100" w:after="40"/>
        <w:keepNext/>
      </w:pPr>
      <w:r>
        <w:rPr>
          <w:b/>
          <w:color w:val="166534"/>
          <w:sz w:val="19"/>
          <w:szCs w:val="19"/>
        </w:rPr>
        <w:t xml:space="preserve">GUARDRAILS CONFIRMADOS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0" w:after="160"/>
      </w:pPr>
      <w:r>
        <w:rPr>
          <w:color w:val="111827"/>
          <w:sz w:val="20"/>
          <w:szCs w:val="20"/>
        </w:rPr>
        <w:t xml:space="preserve">main, PROD, #147, migration 022, notification-dispatcher, n8n, cron, Database Webhooks, secrets y variables permanecieron intactos.</w:t>
      </w:r>
    </w:p>
    <w:p>
      <w:pPr>
        <w:pStyle w:val="Heading1"/>
      </w:pPr>
      <w:r>
        <w:t xml:space="preserve">9. Concurrencia</w:t>
      </w:r>
    </w:p>
    <w:p>
      <w:pPr>
        <w:jc w:val="center"/>
        <w:spacing w:after="80"/>
      </w:pPr>
      <w:r>
        <w:drawing>
          <wp:inline distT="0" distB="0" distL="0" distR="0">
            <wp:extent cx="6126480" cy="2931616"/>
            <wp:effectExtent l="0" t="0" r="0" b="0"/>
            <wp:docPr id="113" name="image13.png" descr="Figura 13. Doble participación: el segundo intento reconoce que la solicitud ya pertenece a otro co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13. Doble participación: el segundo intento reconoce que la solicitud ya pertenece a otro corte.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6126480" cy="2931616"/>
            <wp:effectExtent l="0" t="0" r="0" b="0"/>
            <wp:docPr id="114" name="image14.png" descr="Figura 14. Doble reenvío: solo una sesión gana y queda un único reingre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14. Doble reenvío: solo una sesión gana y queda un único reingreso.</w:t>
      </w:r>
    </w:p>
    <w:p>
      <w:r>
        <w:br w:type="page"/>
      </w:r>
    </w:p>
    <w:p>
      <w:pPr>
        <w:pStyle w:val="Heading1"/>
      </w:pPr>
      <w:r>
        <w:t xml:space="preserve">10. Responsive y accesibilidad visual</w:t>
      </w:r>
    </w:p>
    <w:p>
      <w:pPr>
        <w:pStyle w:val="Normal"/>
      </w:pPr>
      <w:r>
        <w:t xml:space="preserve">Las tres resoluciones se aplicaron mediante viewport real. En cada una se verificó window.innerWidth, ausencia de overflow horizontal del documento, scroll interno del listado y acceso a acciones. La navegación móvil conserva scroll horizontal propio sin atrapar el scroll vertical.</w:t>
      </w:r>
    </w:p>
    <w:p>
      <w:pPr>
        <w:jc w:val="center"/>
        <w:spacing w:after="80"/>
      </w:pPr>
      <w:r>
        <w:drawing>
          <wp:inline distT="0" distB="0" distL="0" distR="0">
            <wp:extent cx="6126480" cy="3444463"/>
            <wp:effectExtent l="0" t="0" r="0" b="0"/>
            <wp:docPr id="115" name="image15.png" descr="Figura 15. 1366×768: panel, lista y detalle visibles; encabezados y acciones acces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15. 1366×768: panel, lista y detalle visibles; encabezados y acciones accesibles.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4354830" cy="5806440"/>
            <wp:effectExtent l="0" t="0" r="0" b="0"/>
            <wp:docPr id="116" name="image16.png" descr="Figura 16. 768×1024: navegación apilada y contenido sin desbordamiento del docu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16. 768×1024: navegación apilada y contenido sin desbordamiento del documento.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17" name="image17.png" descr="Figura 17. 390×844: tarjetas legibles, scroll vertical funcional y sin overflow horizontal del bod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17. 390×844: tarjetas legibles, scroll vertical funcional y sin overflow horizontal del body.</w:t>
      </w:r>
    </w:p>
    <w:p>
      <w:r>
        <w:br w:type="page"/>
      </w:r>
    </w:p>
    <w:p>
      <w:pPr>
        <w:pStyle w:val="Heading1"/>
      </w:pPr>
      <w:r>
        <w:t xml:space="preserve">11. Contraste y modales</w:t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18" name="image18.png" descr="Figura 18. Configuración de director: título, selects, tabla y acciones leg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18. Configurar director: título, selects, tabla y acciones legibles.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19" name="image19.png" descr="Figura 19. Modal extraordinario con contexto y guardrails visibles; no se autorizó una solicitud no control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19. Modal extraordinario con contexto y guardrails visibles; no se autorizó una solicitud no controlada.</w:t>
      </w:r>
    </w:p>
    <w:p>
      <w:r>
        <w:br w:type="page"/>
      </w:r>
    </w:p>
    <w:p>
      <w:pPr>
        <w:pStyle w:val="Normal"/>
      </w:pPr>
      <w:r>
        <w:t xml:space="preserve">Se revisaron también Crear corte, Enviar nuevamente, Confirmar envío, Liberar para pago y Nuevo layout. No se observaron títulos negros sobre fondo oscuro, placeholders ilegibles ni métodos de pago sin traducir. El focus visible se confirmó en controles de cierre y acción.</w:t>
      </w:r>
    </w:p>
    <w:p>
      <w:pPr>
        <w:pStyle w:val="Heading1"/>
      </w:pPr>
      <w:r>
        <w:t xml:space="preserve">12. Defectos y hallazgos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950"/>
        <w:gridCol w:w="650"/>
        <w:gridCol w:w="3250"/>
        <w:gridCol w:w="2850"/>
        <w:gridCol w:w="1660"/>
      </w:tblGrid>
      <w:tr>
        <w:trPr>
          <w:tblHeader/>
        </w:trPr>
        <w:tc>
          <w:tcPr>
            <w:tcW w:w="9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6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w="32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Causa</w:t>
            </w:r>
          </w:p>
        </w:tc>
        <w:tc>
          <w:tcPr>
            <w:tcW w:w="285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Recomendación</w:t>
            </w:r>
          </w:p>
        </w:tc>
        <w:tc>
          <w:tcPr>
            <w:tcW w:w="16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w="9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DEF-001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P1</w:t>
            </w:r>
          </w:p>
        </w:tc>
        <w:tc>
          <w:tcPr>
            <w:tcW w:w="3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Cierre all-rejected bloqueado por guard de estado final</w:t>
            </w:r>
          </w:p>
        </w:tc>
        <w:tc>
          <w:tcPr>
            <w:tcW w:w="2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Migration 024 + ajustes approval_batches</w:t>
            </w:r>
          </w:p>
        </w:tc>
        <w:tc>
          <w:tcPr>
            <w:tcW w:w="16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CERRADO — retest PASS</w:t>
            </w:r>
          </w:p>
        </w:tc>
      </w:tr>
      <w:tr>
        <w:tc>
          <w:tcPr>
            <w:tcW w:w="9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DEF-002</w:t>
            </w:r>
          </w:p>
        </w:tc>
        <w:tc>
          <w:tcPr>
            <w:tcW w:w="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P2</w:t>
            </w:r>
          </w:p>
        </w:tc>
        <w:tc>
          <w:tcPr>
            <w:tcW w:w="3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Items aprobados conservan “pendiente de cierre” en batch liberado</w:t>
            </w:r>
          </w:p>
        </w:tc>
        <w:tc>
          <w:tcPr>
            <w:tcW w:w="28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Alinear copy del item con estado final</w:t>
            </w:r>
          </w:p>
        </w:tc>
        <w:tc>
          <w:tcPr>
            <w:tcW w:w="16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CORREGIDO EN PR #252 — retest preview autenticado pendiente</w:t>
            </w:r>
          </w:p>
        </w:tc>
      </w:tr>
      <w:tr>
        <w:tc>
          <w:tcPr>
            <w:tcW w:w="9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DEF-003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P2</w:t>
            </w:r>
          </w:p>
        </w:tc>
        <w:tc>
          <w:tcPr>
            <w:tcW w:w="32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Observer de depuración registraba SECCIÓN ELIMINADA al reinjectar el detalle (solicitudes_workboard_extension.js:239 en DEV)</w:t>
            </w:r>
          </w:p>
        </w:tc>
        <w:tc>
          <w:tcPr>
            <w:tcW w:w="2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Revisar observer/extension sin mezclar flujo</w:t>
            </w:r>
          </w:p>
        </w:tc>
        <w:tc>
          <w:tcPr>
            <w:tcW w:w="16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CORREGIDO EN PR #252 — observer removido; retest preview pendiente</w:t>
            </w:r>
          </w:p>
        </w:tc>
      </w:tr>
      <w:tr>
        <w:tc>
          <w:tcPr>
            <w:tcW w:w="9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OBS-001</w:t>
            </w:r>
          </w:p>
        </w:tc>
        <w:tc>
          <w:tcPr>
            <w:tcW w:w="6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P2</w:t>
            </w:r>
          </w:p>
        </w:tc>
        <w:tc>
          <w:tcPr>
            <w:tcW w:w="32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Alertas nativas interrumpen momentáneamente flujos exitosos</w:t>
            </w:r>
          </w:p>
        </w:tc>
        <w:tc>
          <w:tcPr>
            <w:tcW w:w="285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Sustituir por toast/modal no bloqueante</w:t>
            </w:r>
          </w:p>
        </w:tc>
        <w:tc>
          <w:tcPr>
            <w:tcW w:w="16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CORREGIDO EN PR #252 — toast/modal; retest preview pendiente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13. Regresión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3" w:color="E2E8F0"/>
          <w:insideV w:val="single" w:sz="3" w:color="E2E8F0"/>
        </w:tblBorders>
      </w:tblPr>
      <w:tblGrid>
        <w:gridCol w:w="1800"/>
        <w:gridCol w:w="1300"/>
        <w:gridCol w:w="4960"/>
        <w:gridCol w:w="1300"/>
      </w:tblGrid>
      <w:tr>
        <w:trPr>
          <w:tblHeader/>
        </w:trPr>
        <w:tc>
          <w:tcPr>
            <w:tcW w:w="18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w="496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w="1300" w:type="dxa"/>
            <w:shd w:val="clear" w:color="auto" w:fill="0B2545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Proveedores / CSF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Catálogo carga; proveedor DEV-CSF-TEST muestra Ver CSF en edición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31, 32</w:t>
            </w:r>
          </w:p>
        </w:tc>
      </w:tr>
      <w:t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Presupuesto / solicitudes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Disponibilidad, insuficiencia y revalidación material visibles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01, 21–23</w:t>
            </w:r>
          </w:p>
        </w:tc>
      </w:tr>
      <w:t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Layouts / PAGOSINT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Layouts existentes, Pagos Inter y Completar referencias disponibles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Efectivo / comprobaciones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Fondos activos y pendientes cargan sin error funcional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35</w:t>
            </w:r>
          </w:p>
        </w:tc>
      </w:tr>
      <w:t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Ingresos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Balance, socios, periodos, cuotas e incidencias cargan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Autenticación / roles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BLOCKED parcial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Finanzas validada; Dirección asignada requiere otra sesión y no existe solicitante Operativo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05, 06</w:t>
            </w:r>
          </w:p>
        </w:tc>
      </w:tr>
      <w:tr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Navegación / tema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Módulos accesibles; tema claro/oscuro alterna y se restauró</w:t>
            </w:r>
          </w:p>
        </w:tc>
        <w:tc>
          <w:tcPr>
            <w:tcW w:w="1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36, 42</w:t>
            </w:r>
          </w:p>
        </w:tc>
      </w:tr>
      <w:tr>
        <w:tc>
          <w:tcPr>
            <w:tcW w:w="18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Batches históricos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PASS</w:t>
            </w:r>
          </w:p>
        </w:tc>
        <w:tc>
          <w:tcPr>
            <w:tcW w:w="496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Cortes 021/022 y QA visibles con sus estados</w:t>
            </w:r>
          </w:p>
        </w:tc>
        <w:tc>
          <w:tcPr>
            <w:tcW w:w="1300" w:type="dxa"/>
            <w:shd w:val="clear" w:color="auto" w:fill="F8FAFC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/>
            </w:pPr>
            <w:r>
              <w:rPr>
                <w:color w:val="111827"/>
                <w:sz w:val="16"/>
                <w:szCs w:val="16"/>
              </w:rPr>
              <w:t xml:space="preserve">37, 42</w:t>
            </w:r>
          </w:p>
        </w:tc>
      </w:tr>
    </w:tbl>
    <w:p>
      <w:pPr>
        <w:spacing w:after="100"/>
      </w:pP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20" name="image20.png" descr="Figura 20. Regresión de proveedores y acceso a CS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20. Regresión de proveedores y acceso a CSF.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21" name="image21.png" descr="Figura 21. Regresión de layouts existentes, PAGOSINT y acciones operativ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21. Regresión de layouts existentes, PAGOSINT y acciones operativas.</w:t>
      </w:r>
    </w:p>
    <w:p>
      <w:r>
        <w:br w:type="page"/>
      </w:r>
    </w:p>
    <w:p>
      <w:pPr>
        <w:jc w:val="center"/>
        <w:spacing w:after="80"/>
      </w:pPr>
      <w:r>
        <w:drawing>
          <wp:inline distT="0" distB="0" distL="0" distR="0">
            <wp:extent cx="2684852" cy="5806440"/>
            <wp:effectExtent l="0" t="0" r="0" b="0"/>
            <wp:docPr id="122" name="image22.png" descr="Figura 22. Regresión de efectivo y comprob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2684852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22. Regresión de efectivo y comprobaciones.</w:t>
      </w:r>
    </w:p>
    <w:p>
      <w:r>
        <w:br w:type="page"/>
      </w:r>
    </w:p>
    <w:p>
      <w:pPr>
        <w:pStyle w:val="Heading1"/>
      </w:pPr>
      <w:r>
        <w:t xml:space="preserve">14. Notificaciones read-only</w:t>
      </w:r>
    </w:p>
    <w:p>
      <w:pPr>
        <w:pBdr>
          <w:left w:val="single" w:sz="18" w:space="8" w:color="92400E"/>
        </w:pBdr>
        <w:shd w:val="clear" w:fill="FEF3C7"/>
        <w:ind w:left="180" w:right="180"/>
        <w:spacing w:before="100" w:after="40"/>
        <w:keepNext/>
      </w:pPr>
      <w:r>
        <w:rPr>
          <w:b/>
          <w:color w:val="92400E"/>
          <w:sz w:val="19"/>
          <w:szCs w:val="19"/>
        </w:rPr>
        <w:t xml:space="preserve">ESTADO: BLOCKED</w:t>
      </w:r>
    </w:p>
    <w:p>
      <w:pPr>
        <w:pBdr>
          <w:left w:val="single" w:sz="18" w:space="8" w:color="92400E"/>
        </w:pBdr>
        <w:shd w:val="clear" w:fill="FEF3C7"/>
        <w:ind w:left="180" w:right="180"/>
        <w:spacing w:before="0" w:after="160"/>
      </w:pPr>
      <w:r>
        <w:t>No se consultaron notification_events. El entorno no expuso una conexión read-only verificable. Se versionó docs/qa/batch_notification_events_audit_readonly.sql con transacción read-only, SELECT de los seis eventos, control de duplicados, destinatarios, payload de rebatched y ausencia de procesamiento inesperado. No se declaran resultados PASS sin ejecutar la consulta.</w:t>
      </w:r>
    </w:p>
    <w:p>
      <w:pPr>
        <w:pStyle w:val="Normal"/>
      </w:pPr>
      <w:r>
        <w:t>Pendiente antes de cualquier promoción: ejecutar el SQL read-only y registrar IDs/resultados reales para approval_batch.submitted, approved, partially_approved, item_rejected, item_rebatched y payment_request.extraordinary_authorized.</w:t>
      </w:r>
    </w:p>
    <w:p>
      <w:pPr>
        <w:pStyle w:val="Heading1"/>
      </w:pPr>
      <w:r>
        <w:t xml:space="preserve">15. Riesgos residuales</w:t>
      </w:r>
    </w:p>
    <w:p>
      <w:pPr>
        <w:pStyle w:val="Normal"/>
        <w:numPr>
          <w:ilvl w:val="0"/>
          <w:numId w:val="1"/>
        </w:numPr>
        <w:spacing w:after="80"/>
      </w:pPr>
      <w:r>
        <w:t>BATCH-012 y BATCH-013: solicitudes y corte creados/enviados, pero el cierre positivo está bloqueado. La UI canónica guarda payment_method=cash/check mientras create_cash_fund todavía exige request_type=cash/check. Se documentó la propuesta para migration 026 o posterior.</w:t>
      </w:r>
    </w:p>
    <w:p>
      <w:pPr>
        <w:pStyle w:val="Normal"/>
        <w:numPr>
          <w:ilvl w:val="0"/>
          <w:numId w:val="1"/>
        </w:numPr>
        <w:spacing w:after="80"/>
      </w:pPr>
      <w:r>
        <w:t>BATCH-014: PASS. SOL-2026-0075 fue autorizada como extraordinaria por Finanzas y revocada antes de layout, fondo o pago; no se materializó ninguna ejecución.</w:t>
      </w:r>
    </w:p>
    <w:p>
      <w:pPr>
        <w:pStyle w:val="Normal"/>
        <w:numPr>
          <w:ilvl w:val="0"/>
          <w:numId w:val="1"/>
        </w:numPr>
        <w:spacing w:after="80"/>
      </w:pPr>
      <w:r>
        <w:t>BATCH-017: BLOCKED. No existe perfil DEV con nivel Operativo y no se creó Auth user ni se alteraron roles para simular el caso.</w:t>
      </w:r>
    </w:p>
    <w:p>
      <w:pPr>
        <w:pStyle w:val="Normal"/>
        <w:numPr>
          <w:ilvl w:val="0"/>
          <w:numId w:val="1"/>
        </w:numPr>
        <w:spacing w:after="80"/>
      </w:pPr>
      <w:r>
        <w:t>notification_events: BLOCKED hasta que Ramón ejecute la consulta read-only y comparta el resultado sin secretos.</w:t>
      </w:r>
    </w:p>
    <w:p>
      <w:pPr>
        <w:pStyle w:val="Normal"/>
        <w:numPr>
          <w:ilvl w:val="0"/>
          <w:numId w:val="1"/>
        </w:numPr>
        <w:spacing w:after="80"/>
      </w:pPr>
      <w:r>
        <w:t>DEF-002, DEF-003 y OBS-001 tienen corrección frontend en PR #252. El preview está desplegado, pero el retest autenticado sigue pendiente porque la sesión DEV no se comparte con el dominio del preview.</w:t>
      </w:r>
    </w:p>
    <w:p>
      <w:pPr>
        <w:pStyle w:val="Heading1"/>
      </w:pPr>
      <w:r>
        <w:t xml:space="preserve">16. Conclusión y recomendación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100" w:after="40"/>
        <w:keepNext/>
      </w:pPr>
      <w:r>
        <w:rPr>
          <w:b/>
          <w:color w:val="166534"/>
          <w:sz w:val="19"/>
          <w:szCs w:val="19"/>
        </w:rPr>
        <w:t xml:space="preserve">CONCLUSIÓN</w:t>
      </w:r>
    </w:p>
    <w:p>
      <w:pPr>
        <w:pBdr>
          <w:left w:val="single" w:sz="18" w:space="8" w:color="166534"/>
        </w:pBdr>
        <w:shd w:val="clear" w:fill="DCFCE7"/>
        <w:ind w:left="180" w:right="180"/>
        <w:spacing w:before="0" w:after="160"/>
      </w:pPr>
      <w:r>
        <w:rPr>
          <w:color w:val="111827"/>
          <w:sz w:val="20"/>
          <w:szCs w:val="20"/>
        </w:rPr>
        <w:t xml:space="preserve">La arquitectura funcional del corte semanal quedó validada en DEV: presupuesto automático, preparación por Finanzas, decisión única por Dirección, liberación, rechazo parcial, reingresos versionados, invalidación por cambio material y protecciones de concurrencia.</w:t>
      </w:r>
    </w:p>
    <w:p>
      <w:pPr>
        <w:pStyle w:val="Normal"/>
      </w:pPr>
      <w:r>
        <w:t>Dictamen: APROBADO PARA CONTINUAR EN DEV. NO APROBADO PARA PROD. El cierre mejora la deuda P2 y cierra BATCH-014, pero conserva BLOCKED BATCH-012, BATCH-013, BATCH-017 y la auditoría de notification_events. No marcar el PR Ready ni fusionar mientras estas puertas sigan abiertas.</w:t>
      </w:r>
    </w:p>
    <w:p>
      <w:r>
        <w:br w:type="page"/>
      </w:r>
    </w:p>
    <w:p>
      <w:pPr>
        <w:pStyle w:val="Heading1"/>
      </w:pPr>
      <w:r>
        <w:t>17. Addendum de cierre QA v1.1</w:t>
      </w:r>
    </w:p>
    <w:p>
      <w:r>
        <w:t>Este addendum actualiza el informe 1.0 del 13 de julio de 2026. Se recopilaron 42 evidencias durante la campaña y se incorporaron 22 figuras al documento. No se agregan capturas nuevas sin verificación visual; los resultados del cierre se respaldan con folios, IDs visibles en la UI, PR, commit y diagnóstico versionado.</w:t>
      </w:r>
    </w:p>
    <w:p>
      <w:pPr>
        <w:pStyle w:val="Heading2"/>
      </w:pPr>
      <w:r>
        <w:t>17.1 Casos pendientes del informe 1.0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016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2016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2016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Obtenido</w:t>
            </w:r>
          </w:p>
        </w:tc>
        <w:tc>
          <w:tcPr>
            <w:tcW w:type="dxa" w:w="2016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016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Trazabilidad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BATCH-012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Fondo único después de Dirección y liberación; bloqueo antes del cierre.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SOL-0073 y corte enviados. Sin cash_fund. RPC legado impide el camino canónico y falta sesión de Dirección.</w:t>
            </w:r>
          </w:p>
        </w:tc>
        <w:tc>
          <w:tcPr>
            <w:tcW w:type="dxa" w:w="2016"/>
            <w:shd w:fill="FEF3C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 d64efd55-3802-4af6-a559-31dcae25beed; item cc793640-296b-4804-abf2-4e4456099090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BATCH-013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Fondo/check único con delivery_method=check después de liberar.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SOL-0074 y corte enviados. Sin fondo/entrega. Mismo gate legado de create_cash_fund.</w:t>
            </w:r>
          </w:p>
        </w:tc>
        <w:tc>
          <w:tcPr>
            <w:tcW w:type="dxa" w:w="2016"/>
            <w:shd w:fill="FEF3C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request ba7a6326-660a-462f-a0e3-5a18f0be04a7; item b6de469b-27cb-4499-aaf7-bea547b0bed3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BATCH-014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Autorizar, verificar badge/contexto y revocar antes de materializar.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Autorización activa observada y revocada; no quedó ejecución ni pago.</w:t>
            </w:r>
          </w:p>
        </w:tc>
        <w:tc>
          <w:tcPr>
            <w:tcW w:type="dxa" w:w="2016"/>
            <w:shd w:fill="D1FAE5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SOL-0075; request 4e67ad8d-7bc2-4ecd-b315-0b3ade4f94ab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BATCH-017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Solicitante puro sin privilegios de Finanzas, Dirección o SysAdmin.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Filtro Operativo en Configuración → Sistema devolvió Sin resultados.</w:t>
            </w:r>
          </w:p>
        </w:tc>
        <w:tc>
          <w:tcPr>
            <w:tcW w:type="dxa" w:w="2016"/>
            <w:shd w:fill="FEF3C7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Acción manual de Ramón requerida; no se creó usuario</w:t>
            </w:r>
          </w:p>
        </w:tc>
      </w:tr>
    </w:tbl>
    <w:p>
      <w:pPr>
        <w:pStyle w:val="Heading2"/>
      </w:pPr>
      <w:r>
        <w:t>17.2 IDs y estado operativo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60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360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batch_id BATCH-012/013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4fc82585-a4b6-478d-bcf9-1c0aaeb427d9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Enviado a Dirección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cash_fund_id SOL-0073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creado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Correcto para un caso aún no liberado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cash_fund_id SOL-0074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creado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Correcto para un caso aún no liberado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extraordinary_authorization_id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expuesto por la UI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inventado; historial visible y revocado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notification_event IDs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auditados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SQL read-only preparado; ejecución pendiente</w:t>
            </w:r>
          </w:p>
        </w:tc>
      </w:tr>
    </w:tbl>
    <w:p>
      <w:pPr>
        <w:pStyle w:val="Heading2"/>
      </w:pPr>
      <w:r>
        <w:t>17.3 Defectos y retests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2520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Reproducción</w:t>
            </w:r>
          </w:p>
        </w:tc>
        <w:tc>
          <w:tcPr>
            <w:tcW w:type="dxa" w:w="2520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Corrección</w:t>
            </w:r>
          </w:p>
        </w:tc>
        <w:tc>
          <w:tcPr>
            <w:tcW w:type="dxa" w:w="2520"/>
            <w:shd w:fill="1F4D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Retest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DEF-002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Batch cerrado QA-BATCH-023 mostraba “pendiente de cierre” en items aprobados.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Copy contextual por estado de batch en approval_batches.js.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Estático PASS; preview autenticado pendiente.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DEF-003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workboard v5: SECCIÓN ELIMINADA; stack en línea 239 al reinjectar detalle.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retiró el MutationObserver de depuración; se preservó la inyección funcional.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Regresión base Proveedores/CSF limpia; preview pendiente.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OBS-001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Alert nativo observado al crear/agregar/enviar corte.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Fallbacks de toast y confirmación accesible en layouts.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Sintaxis/ausencia de alert-confirm PASS; preview pendiente.</w:t>
            </w:r>
          </w:p>
        </w:tc>
      </w:tr>
    </w:tbl>
    <w:p>
      <w:pPr>
        <w:pStyle w:val="Heading2"/>
      </w:pPr>
      <w:r>
        <w:t>17.4 Auditoría read-only de notificaciones</w:t>
      </w:r>
    </w:p>
    <w:p>
      <w:r>
        <w:t>Estado: BLOCKED. El archivo docs/qa/batch_notification_events_audit_readonly.sql usa BEGIN, SET TRANSACTION READ ONLY, SELECT y COMMIT. La ventana QA inicia el 13 de julio de 2026 a las 21:00 (UTC−06). La consulta no reclama eventos, no llama al dispatcher y no modifica datos. Ramón debe ejecutarla en una sesión read-only autorizada y devolver las filas o un export seguro.</w:t>
      </w:r>
    </w:p>
    <w:p>
      <w:pPr>
        <w:pStyle w:val="Heading2"/>
      </w:pPr>
      <w:r>
        <w:t>17.5 Dictamen DEV</w:t>
      </w:r>
    </w:p>
    <w:p>
      <w:r>
        <w:rPr>
          <w:b/>
          <w:color w:val="0B2545"/>
        </w:rPr>
        <w:t>APROBADO PARA CONTINUAR EN DEV. NO APROBADO PARA PROD.</w:t>
      </w:r>
      <w:r>
        <w:t xml:space="preserve"> PR #252 debe permanecer Draft. No se tocó main, PROD, #147, migration 025, dispatcher, n8n, cron, Database Webhooks, secrets ni variables.</w:t>
      </w:r>
    </w:p>
    <w:sectPr>
      <w:headerReference w:type="default" r:id="rIdHeader"/>
      <w:footerReference w:type="default" r:id="rIdFooter"/>
      <w:pgSz w:w="12240" w:h="15840"/>
      <w:pgMar w:top="900" w:right="1080" w:bottom="900" w:left="1080" w:header="420" w:footer="4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pBdr>
        <w:top w:val="single" w:sz="4" w:space="3" w:color="D7DCE3"/>
      </w:pBdr>
    </w:pPr>
    <w:r>
      <w:rPr>
        <w:color w:val="5B6472"/>
        <w:sz w:val="17"/>
      </w:rPr>
      <w:t>Flux Operadora | DEV | Reporte QA</w:t>
    </w:r>
  </w:p>
</w:ftr>
</file>

<file path=word/header1.xml><?xml version="1.0" encoding="utf-8"?>
<w:hdr xmlns:w="http://schemas.openxmlformats.org/wordprocessingml/2006/main">
  <w:p>
    <w:pPr>
      <w:pBdr>
        <w:bottom w:val="single" w:sz="4" w:space="3" w:color="D7DCE3"/>
      </w:pBdr>
    </w:pPr>
    <w:r>
      <w:rPr>
        <w:color w:val="5B6472"/>
        <w:sz w:val="17"/>
      </w:rPr>
      <w:t>FLUX OPERADORA  |  CORTES SEMANALES  |  QA DEV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MX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76" w:lineRule="auto"/>
      <w:widowControl/>
    </w:pPr>
    <w:rPr>
      <w:color w:val="111827"/>
    </w:rPr>
  </w:style>
  <w:style w:type="paragraph" w:styleId="Eyebrow">
    <w:name w:val="Eyebrow"/>
    <w:basedOn w:val="Normal"/>
    <w:pPr>
      <w:spacing w:after="180"/>
      <w:keepNext/>
    </w:pPr>
    <w:rPr>
      <w:b/>
      <w:color w:val="0F766E"/>
      <w:sz w:val="20"/>
      <w:szCs w:val="20"/>
    </w:rPr>
  </w:style>
  <w:style w:type="paragraph" w:styleId="Title">
    <w:name w:val="Title"/>
    <w:basedOn w:val="Normal"/>
    <w:pPr>
      <w:spacing w:after="20"/>
      <w:keepNext/>
    </w:pPr>
    <w:rPr>
      <w:b/>
      <w:color w:val="0B2545"/>
      <w:sz w:val="58"/>
      <w:szCs w:val="58"/>
    </w:rPr>
  </w:style>
  <w:style w:type="paragraph" w:styleId="TitleBlue">
    <w:name w:val="Title Blue"/>
    <w:basedOn w:val="Normal"/>
    <w:pPr>
      <w:spacing w:after="100"/>
      <w:keepNext/>
    </w:pPr>
    <w:rPr>
      <w:b/>
      <w:color w:val="2E74B5"/>
      <w:sz w:val="44"/>
      <w:szCs w:val="44"/>
    </w:rPr>
  </w:style>
  <w:style w:type="paragraph" w:styleId="Subtitle">
    <w:name w:val="Subtitle"/>
    <w:basedOn w:val="Normal"/>
    <w:pPr>
      <w:spacing w:after="360"/>
      <w:keepNext/>
    </w:pPr>
    <w:rPr>
      <w:color w:val="5B6472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color w:val="1F4D78"/>
      <w:sz w:val="26"/>
      <w:szCs w:val="26"/>
    </w:rPr>
  </w:style>
  <w:style w:type="paragraph" w:styleId="Caption">
    <w:name w:val="Caption"/>
    <w:basedOn w:val="Normal"/>
    <w:pPr>
      <w:jc w:val="center"/>
      <w:spacing w:after="100"/>
    </w:pPr>
    <w:rPr>
      <w:i/>
      <w:color w:val="5B6472"/>
      <w:sz w:val="17"/>
      <w:szCs w:val="17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Relationship Id="rIdImage7" Type="http://schemas.openxmlformats.org/officeDocument/2006/relationships/image" Target="media/image7.png"/><Relationship Id="rIdImage8" Type="http://schemas.openxmlformats.org/officeDocument/2006/relationships/image" Target="media/image8.png"/><Relationship Id="rIdImage9" Type="http://schemas.openxmlformats.org/officeDocument/2006/relationships/image" Target="media/image9.png"/><Relationship Id="rIdImage10" Type="http://schemas.openxmlformats.org/officeDocument/2006/relationships/image" Target="media/image10.png"/><Relationship Id="rIdImage11" Type="http://schemas.openxmlformats.org/officeDocument/2006/relationships/image" Target="media/image11.png"/><Relationship Id="rIdImage12" Type="http://schemas.openxmlformats.org/officeDocument/2006/relationships/image" Target="media/image12.png"/><Relationship Id="rIdImage13" Type="http://schemas.openxmlformats.org/officeDocument/2006/relationships/image" Target="media/image13.png"/><Relationship Id="rIdImage14" Type="http://schemas.openxmlformats.org/officeDocument/2006/relationships/image" Target="media/image14.png"/><Relationship Id="rIdImage15" Type="http://schemas.openxmlformats.org/officeDocument/2006/relationships/image" Target="media/image15.png"/><Relationship Id="rIdImage16" Type="http://schemas.openxmlformats.org/officeDocument/2006/relationships/image" Target="media/image16.png"/><Relationship Id="rIdImage17" Type="http://schemas.openxmlformats.org/officeDocument/2006/relationships/image" Target="media/image17.png"/><Relationship Id="rIdImage18" Type="http://schemas.openxmlformats.org/officeDocument/2006/relationships/image" Target="media/image18.png"/><Relationship Id="rIdImage19" Type="http://schemas.openxmlformats.org/officeDocument/2006/relationships/image" Target="media/image19.png"/><Relationship Id="rIdImage20" Type="http://schemas.openxmlformats.org/officeDocument/2006/relationships/image" Target="media/image20.png"/><Relationship Id="rIdImage21" Type="http://schemas.openxmlformats.org/officeDocument/2006/relationships/image" Target="media/image21.png"/><Relationship Id="rIdImage22" Type="http://schemas.openxmlformats.org/officeDocument/2006/relationships/image" Target="media/image2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Flux Operadora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QA Flux Cortes Semanales DEV — v1.1</dc:title>
  <dc:subject>Cierre de cobertura BATCH-012/013/014/017 y deuda P2</dc:subject>
  <dc:creator>Ramón Hipo / Codex QA</dc:creator>
  <cp:lastModifiedBy>Codex QA</cp:lastModifiedBy>
  <dcterms:created xsi:type="dcterms:W3CDTF">2026-07-14T03:10:37Z</dcterms:created>
  <dcterms:modified xsi:type="dcterms:W3CDTF">2026-07-14T03:10:37Z</dcterms:modified>
</cp:coreProperties>
</file>