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Personal de apoyo (últimos 5 años)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Becarios: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aquel estudiante de posgrado que perciba una beca en el sistema de investigación nacional.</w:t>
            </w:r>
          </w:p>
          <w:p>
            <w:pPr>
              <w:pStyle w:val="TextBody"/>
              <w:spacing w:lineRule="auto" w:line="240" w:before="0" w:after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UNSAM: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de doctorado o posdoc financiada por UNSAM o alguna de sus dependencias.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CONICET: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financiada por CONICET con lugar de trabajo en UNSAM.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CONICET-UNSAM: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cofinanciada por CONICET Y UNSAM.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ANPCYT: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son miembros de un proyecto otorgado a UNSAM y financiado por ANPCYT.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Deben ser estudiantes de posgrado de una carrera acreditada por la CONEAU, su director debe ser miembro del grupo no necesariamente con lugar de trabajo en UNSAM.</w:t>
            </w:r>
          </w:p>
          <w:p>
            <w:pPr>
              <w:pStyle w:val="Heading3"/>
              <w:widowControl/>
              <w:spacing w:lineRule="auto" w:line="300" w:before="0" w:after="0"/>
              <w:ind w:left="0" w:right="0" w:hanging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EAF7C"/>
                <w:spacing w:val="0"/>
                <w:u w:val="none"/>
                <w:effect w:val="none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i w:val="false"/>
                <w:caps w:val="false"/>
                <w:smallCaps w:val="false"/>
                <w:strike w:val="false"/>
                <w:dstrike w:val="false"/>
                <w:color w:val="3EAF7C"/>
                <w:spacing w:val="0"/>
                <w:u w:val="none"/>
                <w:effect w:val="none"/>
              </w:rPr>
            </w:r>
          </w:p>
          <w:p>
            <w:pPr>
              <w:pStyle w:val="TextBody"/>
              <w:spacing w:lineRule="auto" w:line="276" w:before="0" w:after="140"/>
              <w:rPr/>
            </w:pPr>
            <w:r>
              <w:rPr/>
              <w:b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Determinar el grado de </w:t>
            </w:r>
            <w:r>
              <w:rPr/>
              <w:t>balance entre géneros dentro de la universidad.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 año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CONICET, RRHH.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porcentajes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unidad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Times New Roman" w:hAnsi="Times New Roman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LibreOffice/6.0.5.2$Linux_X86_64 LibreOffice_project/00m0$Build-2</Application>
  <Pages>2</Pages>
  <Words>163</Words>
  <Characters>957</Characters>
  <CharactersWithSpaces>1088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2018-08-27T15:47:32Z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