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Distribución del gasto de actividades científicas según </w:t>
            </w:r>
            <w:r>
              <w:rPr/>
              <w:t>infraestructura y equipamientos.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66</Words>
  <Characters>456</Characters>
  <CharactersWithSpaces>496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2018-08-24T15:55:26Z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