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Investigadores por edad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Investigador con dedicación exclusiva o semiexclusiva o cargo CONICET.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 poder clasificar el potencial según proyectiva, el inicio de su carrera,  los </w:t>
            </w:r>
            <w:r>
              <w:rPr/>
              <w:t xml:space="preserve">investigadores </w:t>
            </w:r>
            <w:r>
              <w:rPr/>
              <w:t xml:space="preserve">consolidados </w:t>
            </w:r>
            <w:r>
              <w:rPr/>
              <w:t>y los que llegan al final de su carrera</w:t>
            </w:r>
            <w:r>
              <w:rPr/>
              <w:t xml:space="preserve"> en nuestra universidad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año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Menores de 31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menores de 36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menores de 41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menores de 46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menores de 51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menores de 56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menores de 61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menores de 66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menores de 71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CONICET, 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 CONICET, RRHH.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Por </w:t>
            </w:r>
            <w:r>
              <w:rPr/>
              <w:t>unidad académica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LibreOffice/6.0.5.2$Linux_X86_64 LibreOffice_project/00m0$Build-2</Application>
  <Pages>1</Pages>
  <Words>130</Words>
  <Characters>751</Characters>
  <CharactersWithSpaces>844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2018-08-27T16:45:59Z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