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Heading1"/>
      </w:pPr>
      <w:r>
        <w:t>MEMORIA DESCRIPTIVA DEL PROGRAMA DE ORDENADOR</w:t>
      </w:r>
      <w:r/>
      <w:r/>
    </w:p>
    <w:p>
      <w:r/>
      <w:r>
        <w:t xml:space="preserve">Documento de apoyo para la solicitud de inscripción en el </w:t>
      </w:r>
      <w:r>
        <w:rPr>
          <w:b/>
        </w:rPr>
        <w:t>Registro de la Propiedad Intelectual</w:t>
      </w:r>
      <w:r>
        <w:t xml:space="preserve"> (programa de ordenador, art. 95 y ss. del Texto Refundido de la Ley de Propiedad Intelectual, RDL 1/1996).</w:t>
      </w:r>
      <w:r/>
    </w:p>
    <w:p>
      <w:r/>
      <w:r>
        <w:t xml:space="preserve">Los campos entre corchetes </w:t>
      </w:r>
      <w:r>
        <w:rPr>
          <w:rFonts w:ascii="Courier" w:hAnsi="Courier"/>
        </w:rPr>
        <w:t>[ ]</w:t>
      </w:r>
      <w:r>
        <w:t xml:space="preserve"> deben completarse antes de la presentación.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Identificación de la obra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Título del programa</w:t>
            </w:r>
          </w:p>
        </w:tc>
        <w:tc>
          <w:tcPr>
            <w:tcW w:type="dxa" w:w="4320"/>
          </w:tcPr>
          <w:p>
            <w:r>
              <w:t>Gestión Pro Total — Mantenimiento e Instalaciones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 de obra</w:t>
            </w:r>
          </w:p>
        </w:tc>
        <w:tc>
          <w:tcPr>
            <w:tcW w:type="dxa" w:w="4320"/>
          </w:tcPr>
          <w:p>
            <w:r>
              <w:t>Programa de ordenador (software)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Versión objeto de registro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finalización / divulgación</w:t>
            </w:r>
          </w:p>
        </w:tc>
        <w:tc>
          <w:tcPr>
            <w:tcW w:type="dxa" w:w="4320"/>
          </w:tcPr>
          <w:p>
            <w:r>
              <w:t>[fecha]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Clase de obra</w:t>
            </w:r>
          </w:p>
        </w:tc>
        <w:tc>
          <w:tcPr>
            <w:tcW w:type="dxa" w:w="4320"/>
          </w:tcPr>
          <w:p>
            <w:r>
              <w:t>Aplicación informática de gestión empresarial (vertical SAT)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Soporte de depósito</w:t>
            </w:r>
          </w:p>
        </w:tc>
        <w:tc>
          <w:tcPr>
            <w:tcW w:type="dxa" w:w="4320"/>
          </w:tcPr>
          <w:p>
            <w:r>
              <w:t>Listado de código fuente en soporte digital (PDF/ZIP)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Lenguajes de programación</w:t>
            </w:r>
          </w:p>
        </w:tc>
        <w:tc>
          <w:tcPr>
            <w:tcW w:type="dxa" w:w="4320"/>
          </w:tcPr>
          <w:p>
            <w:r>
              <w:t>JavaScript (ES2022), JSX/React, HTML5, CSS3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Entorno de ejecución</w:t>
            </w:r>
          </w:p>
        </w:tc>
        <w:tc>
          <w:tcPr>
            <w:tcW w:type="dxa" w:w="4320"/>
          </w:tcPr>
          <w:p>
            <w:r>
              <w:t>Navegador web (multiplataforma), empaquetable como app Android (APK) y de escritorio</w:t>
            </w:r>
          </w:p>
        </w:tc>
      </w:tr>
    </w:tbl>
    <w:p>
      <w:r/>
    </w:p>
    <w:p>
      <w:pPr>
        <w:pStyle w:val="Heading2"/>
      </w:pPr>
      <w:r>
        <w:t>2. Titular y autoría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4320"/>
          </w:tcPr>
          <w:p>
            <w:r>
              <w:t>Ramón David García Pérez de Tudela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NIF/NIE</w:t>
            </w:r>
          </w:p>
        </w:tc>
        <w:tc>
          <w:tcPr>
            <w:tcW w:type="dxa" w:w="4320"/>
          </w:tcPr>
          <w:p>
            <w:r>
              <w:t>[NIF]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Domicilio</w:t>
            </w:r>
          </w:p>
        </w:tc>
        <w:tc>
          <w:tcPr>
            <w:tcW w:type="dxa" w:w="4320"/>
          </w:tcPr>
          <w:p>
            <w:r>
              <w:t>[domicilio completo]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Nacionalidad</w:t>
            </w:r>
          </w:p>
        </w:tc>
        <w:tc>
          <w:tcPr>
            <w:tcW w:type="dxa" w:w="4320"/>
          </w:tcPr>
          <w:p>
            <w:r>
              <w:t>Española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Titular de los derechos de explotación</w:t>
            </w:r>
          </w:p>
        </w:tc>
        <w:tc>
          <w:tcPr>
            <w:tcW w:type="dxa" w:w="4320"/>
          </w:tcPr>
          <w:p>
            <w:r>
              <w:t>Ramón David García Pérez de Tudela [o razón social, si procede]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Carácter de la obra</w:t>
            </w:r>
          </w:p>
        </w:tc>
        <w:tc>
          <w:tcPr>
            <w:tcW w:type="dxa" w:w="4320"/>
          </w:tcPr>
          <w:p>
            <w:r>
              <w:t>Obra individual / [colectiva, si aplica]</w:t>
            </w:r>
          </w:p>
        </w:tc>
      </w:tr>
    </w:tbl>
    <w:p>
      <w:r/>
    </w:p>
    <w:p>
      <w:r/>
      <w:r>
        <w:rPr>
          <w:i/>
        </w:rPr>
        <w:t>(Si la obra se desarrolló en el marco de una relación laboral o por encargo, los derechos de explotación corresponden al empresario/cliente salvo pacto en contrario — art. 97.4 TRLPI. Indíquese en tal caso.)</w:t>
      </w:r>
      <w:r/>
    </w:p>
    <w:p>
      <w:pPr>
        <w:pStyle w:val="Heading2"/>
      </w:pPr>
      <w:r>
        <w:t>3. Descripción funcional del programa</w:t>
      </w:r>
      <w:r/>
    </w:p>
    <w:p>
      <w:r/>
      <w:r>
        <w:rPr>
          <w:b/>
        </w:rPr>
        <w:t>Gestión Pro Total</w:t>
      </w:r>
      <w:r>
        <w:t xml:space="preserve"> es una plataforma integral de gestión para empresas de</w:t>
      </w:r>
      <w:r>
        <w:rPr>
          <w:b/>
        </w:rPr>
        <w:t>Servicio de Asistencia Técnica (SAT)</w:t>
      </w:r>
      <w:r>
        <w:t xml:space="preserve"> e instalaciones en los sectores de</w:t>
      </w:r>
      <w:r>
        <w:rPr>
          <w:b/>
        </w:rPr>
        <w:t>climatización, electricidad, refrigeración y energía solar</w:t>
      </w:r>
      <w:r>
        <w:t>. Centraliza la operativa de campo y administrativa: clientes, equipos, órdenes de trabajo, mantenimientos, presupuestos, facturación, inventario, proveedores y documentación legal, e incorpora módulos de cálculo técnico y de inteligencia artificial de apoyo.</w:t>
      </w:r>
      <w:r/>
    </w:p>
    <w:p>
      <w:pPr>
        <w:pStyle w:val="Heading3"/>
      </w:pPr>
      <w:r>
        <w:t>3.1. Módulos principales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Gestión de clientes y contactos</w:t>
      </w:r>
      <w:r>
        <w:t>: fichas de cliente, máquinas/equipos instalados, histórico de intervenciones y notas.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Órdenes de servicio (SAT)</w:t>
      </w:r>
      <w:r>
        <w:t>: creación, priorización, calendario, chat de SAT, parte de trabajo del técnico y portal público de seguimiento.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Mantenimiento</w:t>
      </w:r>
      <w:r>
        <w:t>: hojas de mantenimiento, planificación y recordatorios inteligentes; histórico de averías de equipos.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Presupuestos y facturación</w:t>
      </w:r>
      <w:r>
        <w:t>: presupuestos (incluido presupuesto público), plantillas de líneas y documentos, facturas y resumen de compras.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Inventario y repuestos</w:t>
      </w:r>
      <w:r>
        <w:t>: control de stock, gestor de repuestos y resumen de compras.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Proveedores y tarifas</w:t>
      </w:r>
      <w:r>
        <w:t>: catálogo de proveedores, importación y comparación de precios, actualización de tarifas en línea.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Calculadoras técnicas</w:t>
      </w:r>
      <w:r>
        <w:t>: cálculo térmico, cámara frigorífica, instalación eléctrica, batería y dimensionado solar (incl. integración fotovoltaica).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Documentación y normativa</w:t>
      </w:r>
      <w:r>
        <w:t>: plantillas de documentos, documentos legales con firma, manuales y normativa aplicable.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Inteligencia artificial</w:t>
      </w:r>
      <w:r>
        <w:t>: asistente, generación de presupuestos, informes, planificación y búsqueda asistida.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Administración</w:t>
      </w:r>
      <w:r>
        <w:t>: configuración de empresa, registro de auditoría, automatizaciones, centro de copias de seguridad y exportación de datos.</w:t>
      </w:r>
      <w:r/>
      <w:r/>
    </w:p>
    <w:p>
      <w:pPr>
        <w:pStyle w:val="Heading3"/>
      </w:pPr>
      <w:r>
        <w:t>3.2. Modelo de datos</w:t>
      </w:r>
      <w:r/>
    </w:p>
    <w:p>
      <w:r/>
      <w:r>
        <w:t>El programa gestiona, entre otras, las siguientes entidades de negocio: Contact, ClientMachine, ClientDocument, ClientNote, Equipment, EquipmentDiary, EquipmentFailure, SATOrder, SATWorkTemplate, SATChatMessage, MaintenanceSheet, Appointment, Project, Invoice, PriceItem, LineTemplate, DocumentTemplate, StockItem, Supplier, SupplierCatalog, SupplierPrice, SolarCalculation, ThermalCalculation, Note, CompanySettings, ChangeLog, AIConsultation, User.</w:t>
      </w:r>
      <w:r/>
    </w:p>
    <w:p>
      <w:pPr>
        <w:pStyle w:val="Heading2"/>
      </w:pPr>
      <w:r>
        <w:t>4. Arquitectura técnica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Arquitectura</w:t>
      </w:r>
      <w:r>
        <w:t>: aplicación web de página única (SPA) con enrutado en cliente.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Frontend</w:t>
      </w:r>
      <w:r>
        <w:t>: React 18 con Vite 6 como empaquetador; componentes de interfaz basados en Radix UI y Tailwind CSS.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Gestión de estado y datos</w:t>
      </w:r>
      <w:r>
        <w:t>: React Query (TanStack) y formularios con React Hook Form + Zod.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Backend / persistencia</w:t>
      </w:r>
      <w:r>
        <w:t xml:space="preserve">: servicios del proveedor </w:t>
      </w:r>
      <w:r>
        <w:rPr>
          <w:b/>
        </w:rPr>
        <w:t>Base44</w:t>
      </w:r>
      <w:r>
        <w:t xml:space="preserve"> mediante su SDK (</w:t>
      </w:r>
      <w:r>
        <w:rPr>
          <w:rFonts w:ascii="Courier" w:hAnsi="Courier"/>
        </w:rPr>
        <w:t>@base44/sdk</w:t>
      </w:r>
      <w:r>
        <w:t>), consumidos a través de un cliente centralizado.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Visualización</w:t>
      </w:r>
      <w:r>
        <w:t>: Recharts (gráficas), Leaflet (mapas/rutas), generación de PDF (jsPDF) y exportación a Excel (xlsx).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Distribución</w:t>
      </w:r>
      <w:r>
        <w:t xml:space="preserve">: web/PWA, empaquetado </w:t>
      </w:r>
      <w:r>
        <w:rPr>
          <w:b/>
        </w:rPr>
        <w:t>Android (APK)</w:t>
      </w:r>
      <w:r>
        <w:t xml:space="preserve"> y </w:t>
      </w:r>
      <w:r>
        <w:rPr>
          <w:b/>
        </w:rPr>
        <w:t>escritorio</w:t>
      </w:r>
      <w:r>
        <w:t>mediante Capacitor/Electron desde el mismo código fuente.</w:t>
      </w:r>
      <w:r/>
      <w:r/>
    </w:p>
    <w:p>
      <w:pPr>
        <w:pStyle w:val="Heading2"/>
      </w:pPr>
      <w:r>
        <w:t>5. Volumen y estructura del código fuente</w:t>
      </w:r>
      <w:r/>
      <w:r/>
    </w:p>
    <w:p>
      <w:pPr>
        <w:pStyle w:val="ListBullet"/>
        <w:spacing w:line="240" w:lineRule="auto"/>
        <w:ind w:left="720"/>
      </w:pPr>
      <w:r/>
      <w:r>
        <w:t xml:space="preserve">Aproximadamente </w:t>
      </w:r>
      <w:r>
        <w:rPr>
          <w:b/>
        </w:rPr>
        <w:t>53.000 líneas</w:t>
      </w:r>
      <w:r>
        <w:t xml:space="preserve"> de código fuente original.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51 páginas</w:t>
      </w:r>
      <w:r>
        <w:t xml:space="preserve"> funcionales y </w:t>
      </w:r>
      <w:r>
        <w:rPr>
          <w:b/>
        </w:rPr>
        <w:t>137 componentes</w:t>
      </w:r>
      <w:r>
        <w:t xml:space="preserve"> reutilizables.</w:t>
      </w:r>
      <w:r/>
    </w:p>
    <w:p>
      <w:pPr>
        <w:pStyle w:val="ListBullet"/>
        <w:spacing w:line="240" w:lineRule="auto"/>
        <w:ind w:left="720"/>
      </w:pPr>
      <w:r/>
      <w:r>
        <w:t xml:space="preserve">Organización en directorios: </w:t>
      </w:r>
      <w:r>
        <w:rPr>
          <w:rFonts w:ascii="Courier" w:hAnsi="Courier"/>
        </w:rPr>
        <w:t>src/pages</w:t>
      </w:r>
      <w:r>
        <w:t xml:space="preserve">, </w:t>
      </w:r>
      <w:r>
        <w:rPr>
          <w:rFonts w:ascii="Courier" w:hAnsi="Courier"/>
        </w:rPr>
        <w:t>src/components</w:t>
      </w:r>
      <w:r>
        <w:t xml:space="preserve">, </w:t>
      </w:r>
      <w:r>
        <w:rPr>
          <w:rFonts w:ascii="Courier" w:hAnsi="Courier"/>
        </w:rPr>
        <w:t>src/api</w:t>
      </w:r>
      <w:r>
        <w:t>,</w:t>
      </w:r>
      <w:r>
        <w:rPr>
          <w:rFonts w:ascii="Courier" w:hAnsi="Courier"/>
        </w:rPr>
        <w:t>src/hooks</w:t>
      </w:r>
      <w:r>
        <w:t xml:space="preserve">, </w:t>
      </w:r>
      <w:r>
        <w:rPr>
          <w:rFonts w:ascii="Courier" w:hAnsi="Courier"/>
        </w:rPr>
        <w:t>src/lib</w:t>
      </w:r>
      <w:r>
        <w:t xml:space="preserve">, </w:t>
      </w:r>
      <w:r>
        <w:rPr>
          <w:rFonts w:ascii="Courier" w:hAnsi="Courier"/>
        </w:rPr>
        <w:t>src/utils</w:t>
      </w:r>
      <w:r>
        <w:t>, además de configuración de construcción.</w:t>
      </w:r>
      <w:r/>
      <w:r/>
    </w:p>
    <w:p>
      <w:r/>
      <w:r>
        <w:t>El inventario detallado de ficheros figura en</w:t>
      </w:r>
      <w:hyperlink r:id="rId9">
        <w:r>
          <w:rPr>
            <w:color w:val="0000EE"/>
            <w:u w:val="single"/>
          </w:rPr>
          <w:t>INVENTARIO-CODIGO-FUENTE.md</w:t>
        </w:r>
      </w:hyperlink>
      <w:r>
        <w:t>.</w:t>
      </w:r>
      <w:r/>
    </w:p>
    <w:p>
      <w:pPr>
        <w:pStyle w:val="Heading2"/>
      </w:pPr>
      <w:r>
        <w:t>6. Originalidad</w:t>
      </w:r>
      <w:r/>
    </w:p>
    <w:p>
      <w:r/>
      <w:r>
        <w:t xml:space="preserve">El programa constituye una </w:t>
      </w:r>
      <w:r>
        <w:rPr>
          <w:b/>
        </w:rPr>
        <w:t>creación original</w:t>
      </w:r>
      <w:r>
        <w:t xml:space="preserve"> de su autor, fruto de su esfuerzo intelectual, tanto en la estructura y organización del código como en la lógica de negocio específica del sector (cálculos técnicos, flujos de SAT y mantenimiento, gestión documental). El uso de bibliotecas de terceros de código abierto se limita a componentes de infraestructura, integrados y orquestados de forma original por el autor; dichas bibliotecas conservan sus respectivas licencias y no forman parte de la autoría reclamada.</w:t>
      </w:r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>Documento generado como apoyo a la tramitación. Revísese y complétese con los datos definitivos antes de su presentación ante el Registro.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INVENTARIO-CODIGO-FUENT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