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MEMORIA DESCRIPTIVA DEL PROGRAMA DE ORDENADOR</w:t>
      </w:r>
    </w:p>
    <w:p/>
    <w:p>
      <w:pPr>
        <w:pStyle w:val="Cita"/>
      </w:pPr>
      <w:r>
        <w:t xml:space="preserve">Documento de apoyo para la solicitud de inscripción en el **Registro de la</w:t>
      </w:r>
    </w:p>
    <w:p>
      <w:pPr>
        <w:pStyle w:val="Cita"/>
      </w:pPr>
      <w:r>
        <w:t xml:space="preserve">Propiedad Intelectual** (programa de ordenador, art. 95 y ss. del Texto</w:t>
      </w:r>
    </w:p>
    <w:p>
      <w:pPr>
        <w:pStyle w:val="Cita"/>
      </w:pPr>
      <w:r>
        <w:t xml:space="preserve">Refundido de la Ley de Propiedad Intelectual, RDL 1/1996).</w:t>
      </w:r>
    </w:p>
    <w:p>
      <w:r>
        <w:t xml:space="preserve">&gt;</w:t>
      </w:r>
    </w:p>
    <w:p>
      <w:pPr>
        <w:pStyle w:val="Cita"/>
      </w:pPr>
      <w:r>
        <w:t xml:space="preserve">Los campos entre corchetes </w:t>
      </w:r>
      <w:r>
        <w:rPr>
          <w:rFonts w:ascii="Consolas" w:hAnsi="Consolas"/>
        </w:rPr>
        <w:t xml:space="preserve">[ ]</w:t>
      </w:r>
      <w:r>
        <w:t xml:space="preserve"> deben completarse antes de la presentación.</w:t>
      </w:r>
    </w:p>
    <w:p/>
    <w:p>
      <w:r>
        <w:t xml:space="preserve">---</w:t>
      </w:r>
    </w:p>
    <w:p/>
    <w:p>
      <w:pPr>
        <w:pStyle w:val="Heading2"/>
      </w:pPr>
      <w:r>
        <w:t xml:space="preserve">1. Identificación de la obra</w:t>
      </w:r>
    </w:p>
    <w:p/>
    <w:tbl>
      <w:tblPr>
        <w:tblW w:w="9000" w:type="dxa"/>
      </w:tblPr>
      <w:tr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Campo</w:t>
            </w:r>
          </w:p>
        </w:tc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Dato</w:t>
            </w:r>
          </w:p>
        </w:tc>
      </w:tr>
      <w:tr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rPr>
                <w:b/>
              </w:rPr>
              <w:t xml:space="preserve">Título del programa</w:t>
            </w:r>
          </w:p>
        </w:tc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Gestión Pro Total — Mantenimiento e Instalaciones</w:t>
            </w:r>
          </w:p>
        </w:tc>
      </w:tr>
      <w:tr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rPr>
                <w:b/>
              </w:rPr>
              <w:t xml:space="preserve">Tipo de obra</w:t>
            </w:r>
          </w:p>
        </w:tc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Programa de ordenador (software)</w:t>
            </w:r>
          </w:p>
        </w:tc>
      </w:tr>
      <w:tr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rPr>
                <w:b/>
              </w:rPr>
              <w:t xml:space="preserve">Versión objeto de registro</w:t>
            </w:r>
          </w:p>
        </w:tc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1.63.0</w:t>
            </w:r>
          </w:p>
        </w:tc>
      </w:tr>
      <w:tr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rPr>
                <w:b/>
              </w:rPr>
              <w:t xml:space="preserve">Fecha de finalización / divulgación</w:t>
            </w:r>
          </w:p>
        </w:tc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[fecha]</w:t>
            </w:r>
          </w:p>
        </w:tc>
      </w:tr>
      <w:tr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rPr>
                <w:b/>
              </w:rPr>
              <w:t xml:space="preserve">Clase de obra</w:t>
            </w:r>
          </w:p>
        </w:tc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Aplicación informática de gestión empresarial (vertical SAT)</w:t>
            </w:r>
          </w:p>
        </w:tc>
      </w:tr>
      <w:tr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rPr>
                <w:b/>
              </w:rPr>
              <w:t xml:space="preserve">Soporte de depósito</w:t>
            </w:r>
          </w:p>
        </w:tc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Listado de código fuente en soporte digital (PDF/ZIP)</w:t>
            </w:r>
          </w:p>
        </w:tc>
      </w:tr>
      <w:tr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rPr>
                <w:b/>
              </w:rPr>
              <w:t xml:space="preserve">Lenguajes de programación</w:t>
            </w:r>
          </w:p>
        </w:tc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JavaScript (ES2022), JSX/React, HTML5, CSS3</w:t>
            </w:r>
          </w:p>
        </w:tc>
      </w:tr>
      <w:tr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rPr>
                <w:b/>
              </w:rPr>
              <w:t xml:space="preserve">Entorno de ejecución</w:t>
            </w:r>
          </w:p>
        </w:tc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Navegador web (multiplataforma), empaquetable como app Android (APK) y de escritorio</w:t>
            </w:r>
          </w:p>
        </w:tc>
      </w:tr>
    </w:tbl>
    <w:p/>
    <w:p/>
    <w:p>
      <w:pPr>
        <w:pStyle w:val="Heading2"/>
      </w:pPr>
      <w:r>
        <w:t xml:space="preserve">2. Titular y autoría</w:t>
      </w:r>
    </w:p>
    <w:p/>
    <w:tbl>
      <w:tblPr>
        <w:tblW w:w="9000" w:type="dxa"/>
      </w:tblPr>
      <w:tr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Campo</w:t>
            </w:r>
          </w:p>
        </w:tc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Dato</w:t>
            </w:r>
          </w:p>
        </w:tc>
      </w:tr>
      <w:tr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rPr>
                <w:b/>
              </w:rPr>
              <w:t xml:space="preserve">Autor</w:t>
            </w:r>
          </w:p>
        </w:tc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Ramón David García Pérez de Tudela</w:t>
            </w:r>
          </w:p>
        </w:tc>
      </w:tr>
      <w:tr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rPr>
                <w:b/>
              </w:rPr>
              <w:t xml:space="preserve">NIF/NIE</w:t>
            </w:r>
          </w:p>
        </w:tc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[NIF]</w:t>
            </w:r>
          </w:p>
        </w:tc>
      </w:tr>
      <w:tr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rPr>
                <w:b/>
              </w:rPr>
              <w:t xml:space="preserve">Domicilio</w:t>
            </w:r>
          </w:p>
        </w:tc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[domicilio completo]</w:t>
            </w:r>
          </w:p>
        </w:tc>
      </w:tr>
      <w:tr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rPr>
                <w:b/>
              </w:rPr>
              <w:t xml:space="preserve">Nacionalidad</w:t>
            </w:r>
          </w:p>
        </w:tc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Española</w:t>
            </w:r>
          </w:p>
        </w:tc>
      </w:tr>
      <w:tr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rPr>
                <w:b/>
              </w:rPr>
              <w:t xml:space="preserve">Titular de los derechos de explotación</w:t>
            </w:r>
          </w:p>
        </w:tc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Ramón David García Pérez de Tudela [o razón social, si procede]</w:t>
            </w:r>
          </w:p>
        </w:tc>
      </w:tr>
      <w:tr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rPr>
                <w:b/>
              </w:rPr>
              <w:t xml:space="preserve">Carácter de la obra</w:t>
            </w:r>
          </w:p>
        </w:tc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Obra individual / [colectiva, si aplica]</w:t>
            </w:r>
          </w:p>
        </w:tc>
      </w:tr>
    </w:tbl>
    <w:p/>
    <w:p/>
    <w:p>
      <w:r>
        <w:t xml:space="preserve">*(Si la obra se desarrolló en el marco de una relación laboral o por encargo, los</w:t>
      </w:r>
    </w:p>
    <w:p>
      <w:r>
        <w:t xml:space="preserve">derechos de explotación corresponden al empresario/cliente salvo pacto en</w:t>
      </w:r>
    </w:p>
    <w:p>
      <w:r>
        <w:t xml:space="preserve">contrario — art. 97.4 TRLPI. Indíquese en tal caso.)*</w:t>
      </w:r>
    </w:p>
    <w:p/>
    <w:p>
      <w:pPr>
        <w:pStyle w:val="Heading2"/>
      </w:pPr>
      <w:r>
        <w:t xml:space="preserve">3. Descripción funcional del programa</w:t>
      </w:r>
    </w:p>
    <w:p/>
    <w:p>
      <w:r>
        <w:rPr>
          <w:b/>
        </w:rPr>
        <w:t xml:space="preserve">Gestión Pro Total</w:t>
      </w:r>
      <w:r>
        <w:t xml:space="preserve"> es una plataforma integral de gestión para empresas de</w:t>
      </w:r>
    </w:p>
    <w:p>
      <w:r>
        <w:rPr>
          <w:b/>
        </w:rPr>
        <w:t xml:space="preserve">Servicio de Asistencia Técnica (SAT)</w:t>
      </w:r>
      <w:r>
        <w:t xml:space="preserve"> e instalaciones en los sectores de</w:t>
      </w:r>
    </w:p>
    <w:p>
      <w:r>
        <w:rPr>
          <w:b/>
        </w:rPr>
        <w:t xml:space="preserve">climatización, electricidad, refrigeración y energía solar</w:t>
      </w:r>
      <w:r>
        <w:t xml:space="preserve">. Centraliza la</w:t>
      </w:r>
    </w:p>
    <w:p>
      <w:r>
        <w:t xml:space="preserve">operativa de campo y administrativa: clientes, equipos, órdenes de trabajo,</w:t>
      </w:r>
    </w:p>
    <w:p>
      <w:r>
        <w:t xml:space="preserve">mantenimientos, presupuestos, facturación, inventario, proveedores y</w:t>
      </w:r>
    </w:p>
    <w:p>
      <w:r>
        <w:t xml:space="preserve">documentación legal, e incorpora módulos de cálculo técnico y de inteligencia</w:t>
      </w:r>
    </w:p>
    <w:p>
      <w:r>
        <w:t xml:space="preserve">artificial de apoyo.</w:t>
      </w:r>
    </w:p>
    <w:p/>
    <w:p>
      <w:pPr>
        <w:pStyle w:val="Heading3"/>
      </w:pPr>
      <w:r>
        <w:t xml:space="preserve">3.1. Módulos principales</w:t>
      </w:r>
    </w:p>
    <w:p/>
    <w:p>
      <w:r>
        <w:t xml:space="preserve">• </w:t>
      </w:r>
      <w:r>
        <w:rPr>
          <w:b/>
        </w:rPr>
        <w:t xml:space="preserve">Gestión de clientes y contactos</w:t>
      </w:r>
      <w:r>
        <w:t xml:space="preserve">: fichas de cliente, máquinas/equipos</w:t>
      </w:r>
    </w:p>
    <w:p>
      <w:r>
        <w:t xml:space="preserve">  instalados, histórico de intervenciones y notas.</w:t>
      </w:r>
    </w:p>
    <w:p>
      <w:r>
        <w:t xml:space="preserve">• </w:t>
      </w:r>
      <w:r>
        <w:rPr>
          <w:b/>
        </w:rPr>
        <w:t xml:space="preserve">Órdenes de servicio (SAT)</w:t>
      </w:r>
      <w:r>
        <w:t xml:space="preserve">: creación, priorización, calendario, chat de SAT,</w:t>
      </w:r>
    </w:p>
    <w:p>
      <w:r>
        <w:t xml:space="preserve">  parte de trabajo del técnico y portal público de seguimiento.</w:t>
      </w:r>
    </w:p>
    <w:p>
      <w:r>
        <w:t xml:space="preserve">• </w:t>
      </w:r>
      <w:r>
        <w:rPr>
          <w:b/>
        </w:rPr>
        <w:t xml:space="preserve">Mantenimiento</w:t>
      </w:r>
      <w:r>
        <w:t xml:space="preserve">: hojas de mantenimiento, planificación y recordatorios</w:t>
      </w:r>
    </w:p>
    <w:p>
      <w:r>
        <w:t xml:space="preserve">  inteligentes; histórico de averías de equipos.</w:t>
      </w:r>
    </w:p>
    <w:p>
      <w:r>
        <w:t xml:space="preserve">• </w:t>
      </w:r>
      <w:r>
        <w:rPr>
          <w:b/>
        </w:rPr>
        <w:t xml:space="preserve">Presupuestos y facturación</w:t>
      </w:r>
      <w:r>
        <w:t xml:space="preserve">: presupuestos (incluido presupuesto público),</w:t>
      </w:r>
    </w:p>
    <w:p>
      <w:r>
        <w:t xml:space="preserve">  plantillas de líneas y documentos, facturas y resumen de compras.</w:t>
      </w:r>
    </w:p>
    <w:p>
      <w:r>
        <w:t xml:space="preserve">• </w:t>
      </w:r>
      <w:r>
        <w:rPr>
          <w:b/>
        </w:rPr>
        <w:t xml:space="preserve">Inventario y repuestos</w:t>
      </w:r>
      <w:r>
        <w:t xml:space="preserve">: control de stock, gestor de repuestos y resumen de</w:t>
      </w:r>
    </w:p>
    <w:p>
      <w:r>
        <w:t xml:space="preserve">  compras.</w:t>
      </w:r>
    </w:p>
    <w:p>
      <w:r>
        <w:t xml:space="preserve">• </w:t>
      </w:r>
      <w:r>
        <w:rPr>
          <w:b/>
        </w:rPr>
        <w:t xml:space="preserve">Proveedores y tarifas</w:t>
      </w:r>
      <w:r>
        <w:t xml:space="preserve">: catálogo de proveedores, importación y comparación de</w:t>
      </w:r>
    </w:p>
    <w:p>
      <w:r>
        <w:t xml:space="preserve">  precios, actualización de tarifas en línea.</w:t>
      </w:r>
    </w:p>
    <w:p>
      <w:r>
        <w:t xml:space="preserve">• </w:t>
      </w:r>
      <w:r>
        <w:rPr>
          <w:b/>
        </w:rPr>
        <w:t xml:space="preserve">Calculadoras técnicas</w:t>
      </w:r>
      <w:r>
        <w:t xml:space="preserve">: cálculo térmico, cámara frigorífica, instalación</w:t>
      </w:r>
    </w:p>
    <w:p>
      <w:r>
        <w:t xml:space="preserve">  eléctrica, batería y dimensionado solar (incl. integración fotovoltaica).</w:t>
      </w:r>
    </w:p>
    <w:p>
      <w:r>
        <w:t xml:space="preserve">• </w:t>
      </w:r>
      <w:r>
        <w:rPr>
          <w:b/>
        </w:rPr>
        <w:t xml:space="preserve">Documentación y normativa</w:t>
      </w:r>
      <w:r>
        <w:t xml:space="preserve">: plantillas de documentos, documentos legales con</w:t>
      </w:r>
    </w:p>
    <w:p>
      <w:r>
        <w:t xml:space="preserve">  firma, manuales y normativa aplicable.</w:t>
      </w:r>
    </w:p>
    <w:p>
      <w:r>
        <w:t xml:space="preserve">• </w:t>
      </w:r>
      <w:r>
        <w:rPr>
          <w:b/>
        </w:rPr>
        <w:t xml:space="preserve">Inteligencia artificial</w:t>
      </w:r>
      <w:r>
        <w:t xml:space="preserve">: asistente, generación de presupuestos, informes,</w:t>
      </w:r>
    </w:p>
    <w:p>
      <w:r>
        <w:t xml:space="preserve">  planificación y búsqueda asistida.</w:t>
      </w:r>
    </w:p>
    <w:p>
      <w:r>
        <w:t xml:space="preserve">• </w:t>
      </w:r>
      <w:r>
        <w:rPr>
          <w:b/>
        </w:rPr>
        <w:t xml:space="preserve">Administración</w:t>
      </w:r>
      <w:r>
        <w:t xml:space="preserve">: configuración de empresa, registro de auditoría,</w:t>
      </w:r>
    </w:p>
    <w:p>
      <w:r>
        <w:t xml:space="preserve">  automatizaciones, centro de copias de seguridad y exportación de datos.</w:t>
      </w:r>
    </w:p>
    <w:p/>
    <w:p>
      <w:pPr>
        <w:pStyle w:val="Heading3"/>
      </w:pPr>
      <w:r>
        <w:t xml:space="preserve">3.2. Modelo de datos</w:t>
      </w:r>
    </w:p>
    <w:p/>
    <w:p>
      <w:r>
        <w:t xml:space="preserve">El programa gestiona, entre otras, las siguientes entidades de negocio:</w:t>
      </w:r>
    </w:p>
    <w:p>
      <w:r>
        <w:t xml:space="preserve">Contact, ClientMachine, ClientDocument, ClientNote, Equipment, EquipmentDiary,</w:t>
      </w:r>
    </w:p>
    <w:p>
      <w:r>
        <w:t xml:space="preserve">EquipmentFailure, SATOrder, SATWorkTemplate, SATChatMessage, MaintenanceSheet,</w:t>
      </w:r>
    </w:p>
    <w:p>
      <w:r>
        <w:t xml:space="preserve">Appointment, Project, Invoice, PriceItem, LineTemplate, DocumentTemplate,</w:t>
      </w:r>
    </w:p>
    <w:p>
      <w:r>
        <w:t xml:space="preserve">StockItem, Supplier, SupplierCatalog, SupplierPrice, SolarCalculation,</w:t>
      </w:r>
    </w:p>
    <w:p>
      <w:r>
        <w:t xml:space="preserve">ThermalCalculation, Note, CompanySettings, ChangeLog, AIConsultation, User.</w:t>
      </w:r>
    </w:p>
    <w:p/>
    <w:p>
      <w:pPr>
        <w:pStyle w:val="Heading2"/>
      </w:pPr>
      <w:r>
        <w:t xml:space="preserve">4. Arquitectura técnica</w:t>
      </w:r>
    </w:p>
    <w:p/>
    <w:p>
      <w:r>
        <w:t xml:space="preserve">• </w:t>
      </w:r>
      <w:r>
        <w:rPr>
          <w:b/>
        </w:rPr>
        <w:t xml:space="preserve">Arquitectura</w:t>
      </w:r>
      <w:r>
        <w:t xml:space="preserve">: aplicación web de página única (SPA) con enrutado en cliente.</w:t>
      </w:r>
    </w:p>
    <w:p>
      <w:r>
        <w:t xml:space="preserve">• </w:t>
      </w:r>
      <w:r>
        <w:rPr>
          <w:b/>
        </w:rPr>
        <w:t xml:space="preserve">Frontend</w:t>
      </w:r>
      <w:r>
        <w:t xml:space="preserve">: React 18 con Vite 6 como empaquetador; componentes de interfaz</w:t>
      </w:r>
    </w:p>
    <w:p>
      <w:r>
        <w:t xml:space="preserve">  basados en Radix UI y Tailwind CSS.</w:t>
      </w:r>
    </w:p>
    <w:p>
      <w:r>
        <w:t xml:space="preserve">• </w:t>
      </w:r>
      <w:r>
        <w:rPr>
          <w:b/>
        </w:rPr>
        <w:t xml:space="preserve">Gestión de estado y datos</w:t>
      </w:r>
      <w:r>
        <w:t xml:space="preserve">: React Query (TanStack) y formularios con React</w:t>
      </w:r>
    </w:p>
    <w:p>
      <w:r>
        <w:t xml:space="preserve">  Hook Form + Zod.</w:t>
      </w:r>
    </w:p>
    <w:p>
      <w:r>
        <w:t xml:space="preserve">• </w:t>
      </w:r>
      <w:r>
        <w:rPr>
          <w:b/>
        </w:rPr>
        <w:t xml:space="preserve">Backend / persistencia</w:t>
      </w:r>
      <w:r>
        <w:t xml:space="preserve">: servicios del proveedor </w:t>
      </w:r>
      <w:r>
        <w:rPr>
          <w:b/>
        </w:rPr>
        <w:t xml:space="preserve">Base44</w:t>
      </w:r>
      <w:r>
        <w:t xml:space="preserve"> mediante su SDK</w:t>
      </w:r>
    </w:p>
    <w:p>
      <w:r>
        <w:t xml:space="preserve">  (</w:t>
      </w:r>
      <w:r>
        <w:rPr>
          <w:rFonts w:ascii="Consolas" w:hAnsi="Consolas"/>
        </w:rPr>
        <w:t xml:space="preserve">@base44/sdk</w:t>
      </w:r>
      <w:r>
        <w:t xml:space="preserve">), consumidos a través de un cliente centralizado.</w:t>
      </w:r>
    </w:p>
    <w:p>
      <w:r>
        <w:t xml:space="preserve">• </w:t>
      </w:r>
      <w:r>
        <w:rPr>
          <w:b/>
        </w:rPr>
        <w:t xml:space="preserve">Visualización</w:t>
      </w:r>
      <w:r>
        <w:t xml:space="preserve">: Recharts (gráficas), Leaflet (mapas/rutas), generación de</w:t>
      </w:r>
    </w:p>
    <w:p>
      <w:r>
        <w:t xml:space="preserve">  PDF (jsPDF) y exportación a Excel (xlsx).</w:t>
      </w:r>
    </w:p>
    <w:p>
      <w:r>
        <w:t xml:space="preserve">• </w:t>
      </w:r>
      <w:r>
        <w:rPr>
          <w:b/>
        </w:rPr>
        <w:t xml:space="preserve">Distribución</w:t>
      </w:r>
      <w:r>
        <w:t xml:space="preserve">: web/PWA, empaquetado </w:t>
      </w:r>
      <w:r>
        <w:rPr>
          <w:b/>
        </w:rPr>
        <w:t xml:space="preserve">Android (APK)</w:t>
      </w:r>
      <w:r>
        <w:t xml:space="preserve"> y </w:t>
      </w:r>
      <w:r>
        <w:rPr>
          <w:b/>
        </w:rPr>
        <w:t xml:space="preserve">escritorio</w:t>
      </w:r>
    </w:p>
    <w:p>
      <w:r>
        <w:t xml:space="preserve">  mediante Capacitor/Electron desde el mismo código fuente.</w:t>
      </w:r>
    </w:p>
    <w:p/>
    <w:p>
      <w:pPr>
        <w:pStyle w:val="Heading2"/>
      </w:pPr>
      <w:r>
        <w:t xml:space="preserve">5. Volumen y estructura del código fuente</w:t>
      </w:r>
    </w:p>
    <w:p/>
    <w:p>
      <w:r>
        <w:t xml:space="preserve">• Aproximadamente </w:t>
      </w:r>
      <w:r>
        <w:rPr>
          <w:b/>
        </w:rPr>
        <w:t xml:space="preserve">53.000 líneas</w:t>
      </w:r>
      <w:r>
        <w:t xml:space="preserve"> de código fuente original.</w:t>
      </w:r>
    </w:p>
    <w:p>
      <w:r>
        <w:t xml:space="preserve">• </w:t>
      </w:r>
      <w:r>
        <w:rPr>
          <w:b/>
        </w:rPr>
        <w:t xml:space="preserve">51 páginas</w:t>
      </w:r>
      <w:r>
        <w:t xml:space="preserve"> funcionales y </w:t>
      </w:r>
      <w:r>
        <w:rPr>
          <w:b/>
        </w:rPr>
        <w:t xml:space="preserve">137 componentes</w:t>
      </w:r>
      <w:r>
        <w:t xml:space="preserve"> reutilizables.</w:t>
      </w:r>
    </w:p>
    <w:p>
      <w:r>
        <w:t xml:space="preserve">• Organización en directorios: </w:t>
      </w:r>
      <w:r>
        <w:rPr>
          <w:rFonts w:ascii="Consolas" w:hAnsi="Consolas"/>
        </w:rPr>
        <w:t xml:space="preserve">src/pages</w:t>
      </w:r>
      <w:r>
        <w:t xml:space="preserve">, </w:t>
      </w:r>
      <w:r>
        <w:rPr>
          <w:rFonts w:ascii="Consolas" w:hAnsi="Consolas"/>
        </w:rPr>
        <w:t xml:space="preserve">src/components</w:t>
      </w:r>
      <w:r>
        <w:t xml:space="preserve">, </w:t>
      </w:r>
      <w:r>
        <w:rPr>
          <w:rFonts w:ascii="Consolas" w:hAnsi="Consolas"/>
        </w:rPr>
        <w:t xml:space="preserve">src/api</w:t>
      </w:r>
      <w:r>
        <w:t xml:space="preserve">,</w:t>
      </w:r>
    </w:p>
    <w:p>
      <w:r>
        <w:t xml:space="preserve">  </w:t>
      </w:r>
      <w:r>
        <w:rPr>
          <w:rFonts w:ascii="Consolas" w:hAnsi="Consolas"/>
        </w:rPr>
        <w:t xml:space="preserve">src/hooks</w:t>
      </w:r>
      <w:r>
        <w:t xml:space="preserve">, </w:t>
      </w:r>
      <w:r>
        <w:rPr>
          <w:rFonts w:ascii="Consolas" w:hAnsi="Consolas"/>
        </w:rPr>
        <w:t xml:space="preserve">src/lib</w:t>
      </w:r>
      <w:r>
        <w:t xml:space="preserve">, </w:t>
      </w:r>
      <w:r>
        <w:rPr>
          <w:rFonts w:ascii="Consolas" w:hAnsi="Consolas"/>
        </w:rPr>
        <w:t xml:space="preserve">src/utils</w:t>
      </w:r>
      <w:r>
        <w:t xml:space="preserve">, además de configuración de construcción.</w:t>
      </w:r>
    </w:p>
    <w:p/>
    <w:p>
      <w:r>
        <w:t xml:space="preserve">El inventario detallado de ficheros figura en</w:t>
      </w:r>
    </w:p>
    <w:p>
      <w:r>
        <w:t xml:space="preserve">[</w:t>
      </w:r>
      <w:r>
        <w:rPr>
          <w:rFonts w:ascii="Consolas" w:hAnsi="Consolas"/>
        </w:rPr>
        <w:t xml:space="preserve">INVENTARIO-CODIGO-FUENTE.md</w:t>
      </w:r>
      <w:r>
        <w:t xml:space="preserve">](./INVENTARIO-CODIGO-FUENTE.md).</w:t>
      </w:r>
    </w:p>
    <w:p/>
    <w:p>
      <w:pPr>
        <w:pStyle w:val="Heading2"/>
      </w:pPr>
      <w:r>
        <w:t xml:space="preserve">6. Originalidad</w:t>
      </w:r>
    </w:p>
    <w:p/>
    <w:p>
      <w:r>
        <w:t xml:space="preserve">El programa constituye una </w:t>
      </w:r>
      <w:r>
        <w:rPr>
          <w:b/>
        </w:rPr>
        <w:t xml:space="preserve">creación original</w:t>
      </w:r>
      <w:r>
        <w:t xml:space="preserve"> de su autor, fruto de su esfuerzo</w:t>
      </w:r>
    </w:p>
    <w:p>
      <w:r>
        <w:t xml:space="preserve">intelectual, tanto en la estructura y organización del código como en la lógica de</w:t>
      </w:r>
    </w:p>
    <w:p>
      <w:r>
        <w:t xml:space="preserve">negocio específica del sector (cálculos técnicos, flujos de SAT y mantenimiento,</w:t>
      </w:r>
    </w:p>
    <w:p>
      <w:r>
        <w:t xml:space="preserve">gestión documental). El uso de bibliotecas de terceros de código abierto se limita</w:t>
      </w:r>
    </w:p>
    <w:p>
      <w:r>
        <w:t xml:space="preserve">a componentes de infraestructura, integrados y orquestados de forma original por el</w:t>
      </w:r>
    </w:p>
    <w:p>
      <w:r>
        <w:t xml:space="preserve">autor; dichas bibliotecas conservan sus respectivas licencias y no forman parte de</w:t>
      </w:r>
    </w:p>
    <w:p>
      <w:r>
        <w:t xml:space="preserve">la autoría reclamada.</w:t>
      </w:r>
    </w:p>
    <w:p/>
    <w:p>
      <w:r>
        <w:t xml:space="preserve">---</w:t>
      </w:r>
    </w:p>
    <w:p/>
    <w:p>
      <w:r>
        <w:t xml:space="preserve">*Documento generado como apoyo a la tramitación. Revísese y complétese con los</w:t>
      </w:r>
    </w:p>
    <w:p>
      <w:r>
        <w:t xml:space="preserve">datos definitivos antes de su presentación ante el Registro.*</w:t>
      </w:r>
    </w:p>
    <w:p/>
    <w:sectPr>
      <w:pgSz w:w="11906" w:h="16838"/>
      <w:pgMar w:top="1134" w:right="1021" w:bottom="1134" w:left="102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styleId="Heading1">
    <w:name w:val="heading 1"/>
    <w:pPr>
      <w:outlineLvl w:val="0"/>
      <w:spacing w:before="360" w:after="120"/>
    </w:pPr>
    <w:rPr>
      <w:b/>
      <w:sz w:val="40"/>
    </w:rPr>
  </w:style>
  <w:style w:type="paragraph" w:styleId="Heading2">
    <w:name w:val="heading 2"/>
    <w:pPr>
      <w:outlineLvl w:val="1"/>
      <w:spacing w:before="280" w:after="100"/>
    </w:pPr>
    <w:rPr>
      <w:b/>
      <w:sz w:val="30"/>
    </w:rPr>
  </w:style>
  <w:style w:type="paragraph" w:styleId="Heading3">
    <w:name w:val="heading 3"/>
    <w:pPr>
      <w:outlineLvl w:val="2"/>
      <w:spacing w:before="220" w:after="80"/>
    </w:pPr>
    <w:rPr>
      <w:b/>
      <w:sz w:val="24"/>
    </w:rPr>
  </w:style>
  <w:style w:type="paragraph" w:styleId="Cita">
    <w:name w:val="Cita"/>
    <w:pPr>
      <w:ind w:left="480"/>
    </w:pPr>
    <w:rPr>
      <w:i/>
      <w:color w:val="555555"/>
    </w:rPr>
  </w:style>
  <w:style w:type="paragraph" w:styleId="Codigo">
    <w:name w:val="Codigo"/>
    <w:pPr>
      <w:ind w:left="240"/>
      <w:spacing w:after="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