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</w:p>
    <w:p>
      <w:pPr>
        <w:pStyle w:val="Heading1"/>
      </w:pPr>
      <w:r>
        <w:t>Términos y Condiciones de Venta — Gestión Pro Total</w:t>
      </w:r>
      <w:r/>
    </w:p>
    <w:p>
      <w:r/>
      <w:r>
        <w:rPr>
          <w:b/>
        </w:rPr>
        <w:t>Última actualización:</w:t>
      </w:r>
      <w:r>
        <w:t xml:space="preserve"> [FECHA]</w:t>
      </w:r>
      <w:r/>
    </w:p>
    <w:p>
      <w:pPr>
        <w:pStyle w:val="Heading2"/>
      </w:pPr>
      <w:r>
        <w:t>1. Titular</w:t>
      </w:r>
      <w:r/>
    </w:p>
    <w:p>
      <w:r/>
      <w:r>
        <w:rPr>
          <w:b/>
        </w:rPr>
        <w:t>[RAZÓN SOCIAL / NOMBRE]</w:t>
      </w:r>
      <w:r>
        <w:t xml:space="preserve"> · NIF </w:t>
      </w:r>
      <w:r>
        <w:rPr>
          <w:b/>
        </w:rPr>
        <w:t>[NIF]</w:t>
      </w:r>
      <w:r>
        <w:t xml:space="preserve"> · [DOMICILIO] · </w:t>
      </w:r>
      <w:r>
        <w:rPr>
          <w:b/>
        </w:rPr>
        <w:t>kairigarcia.gestionprototal@gmail.com</w:t>
      </w:r>
      <w:r/>
    </w:p>
    <w:p>
      <w:pPr>
        <w:pStyle w:val="Heading2"/>
      </w:pPr>
      <w:r>
        <w:t>2. Objeto</w:t>
      </w:r>
      <w:r/>
    </w:p>
    <w:p>
      <w:r/>
      <w:r>
        <w:t xml:space="preserve">Estos Términos regulan la </w:t>
      </w:r>
      <w:r>
        <w:rPr>
          <w:b/>
        </w:rPr>
        <w:t>contratación de licencias</w:t>
      </w:r>
      <w:r>
        <w:t xml:space="preserve"> del programa Gestión Pro Total a través de los planes publicados.</w:t>
      </w:r>
      <w:r/>
    </w:p>
    <w:p>
      <w:pPr>
        <w:pStyle w:val="Heading2"/>
      </w:pPr>
      <w:r>
        <w:t>3. Planes y precios</w:t>
      </w:r>
      <w:r/>
    </w:p>
    <w:p>
      <w:r/>
      <w:r>
        <w:t>Los planes, precios y duración son los indicados en la pantalla de suscripción del programa. Los precios incluyen los impuestos aplicables salvo indicación contraria.</w:t>
      </w:r>
      <w:r/>
    </w:p>
    <w:p>
      <w:pPr>
        <w:pStyle w:val="Heading2"/>
      </w:pPr>
      <w:r>
        <w:t>4. Pago</w:t>
      </w:r>
      <w:r/>
    </w:p>
    <w:p>
      <w:r/>
      <w:r>
        <w:t xml:space="preserve">El pago se realiza por </w:t>
      </w:r>
      <w:r>
        <w:rPr>
          <w:b/>
        </w:rPr>
        <w:t>tarjeta (Stripe)</w:t>
      </w:r>
      <w:r>
        <w:t xml:space="preserve">, </w:t>
      </w:r>
      <w:r>
        <w:rPr>
          <w:b/>
        </w:rPr>
        <w:t>Bizum</w:t>
      </w:r>
      <w:r>
        <w:t xml:space="preserve"> o </w:t>
      </w:r>
      <w:r>
        <w:rPr>
          <w:b/>
        </w:rPr>
        <w:t>transferencia</w:t>
      </w:r>
      <w:r>
        <w:t>, según se indique. La clave de licencia se entrega tras confirmar el pago.</w:t>
      </w:r>
      <w:r/>
    </w:p>
    <w:p>
      <w:pPr>
        <w:pStyle w:val="Heading2"/>
      </w:pPr>
      <w:r>
        <w:t>5. Entrega y activación</w:t>
      </w:r>
      <w:r/>
    </w:p>
    <w:p>
      <w:r/>
      <w:r>
        <w:t xml:space="preserve">Tras el pago, el Titular emite y envía la </w:t>
      </w:r>
      <w:r>
        <w:rPr>
          <w:b/>
        </w:rPr>
        <w:t>clave de activación</w:t>
      </w:r>
      <w:r>
        <w:t>. El Usuario la introduce en el programa para activar la licencia en su equipo.</w:t>
      </w:r>
      <w:r/>
    </w:p>
    <w:p>
      <w:pPr>
        <w:pStyle w:val="Heading2"/>
      </w:pPr>
      <w:r>
        <w:t>6. Desistimiento</w:t>
      </w:r>
      <w:r/>
    </w:p>
    <w:p>
      <w:r/>
      <w:r>
        <w:t>En contenidos digitales de ejecución inmediata, el derecho de desistimiento puede no aplicar una vez activada la licencia, conforme a la normativa de consumo. Consultar antes de activar.</w:t>
      </w:r>
      <w:r/>
    </w:p>
    <w:p>
      <w:pPr>
        <w:pStyle w:val="Heading2"/>
      </w:pPr>
      <w:r>
        <w:t>7. Soporte</w:t>
      </w:r>
      <w:r/>
    </w:p>
    <w:p>
      <w:r/>
      <w:r>
        <w:t xml:space="preserve">Soporte por email en </w:t>
      </w:r>
      <w:r>
        <w:rPr>
          <w:b/>
        </w:rPr>
        <w:t>kairigarcia.gestionprototal@gmail.com</w:t>
      </w:r>
      <w:r>
        <w:t>. Tiempos de respuesta orientativos: 48 h laborables.</w:t>
      </w:r>
      <w:r/>
    </w:p>
    <w:p>
      <w:pPr>
        <w:pStyle w:val="Heading2"/>
      </w:pPr>
      <w:r>
        <w:t>8. Renovación y cancelación</w:t>
      </w:r>
      <w:r/>
    </w:p>
    <w:p>
      <w:r/>
      <w:r>
        <w:t>El Usuario puede no renovar al vencimiento. No hay renovación automática salvo que se indique expresamente.</w:t>
      </w:r>
      <w:r/>
    </w:p>
    <w:p>
      <w:pPr>
        <w:pStyle w:val="Heading2"/>
      </w:pPr>
      <w:r>
        <w:t>9. Responsabilidad</w:t>
      </w:r>
      <w:r/>
    </w:p>
    <w:p>
      <w:r/>
      <w:r>
        <w:t>Se aplica lo dispuesto en el EULA. El Usuario debe mantener copias de seguridad.</w:t>
      </w:r>
      <w:r/>
    </w:p>
    <w:p>
      <w:pPr>
        <w:pStyle w:val="Heading2"/>
      </w:pPr>
      <w:r>
        <w:t>10. Ley aplicable</w:t>
      </w:r>
      <w:r/>
    </w:p>
    <w:p>
      <w:r/>
      <w:r>
        <w:t xml:space="preserve">Legislación </w:t>
      </w:r>
      <w:r>
        <w:rPr>
          <w:b/>
        </w:rPr>
        <w:t>española</w:t>
      </w:r>
      <w:r>
        <w:t xml:space="preserve"> y fuero del domicilio del Titular, salvo norma imperativa.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