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ular"/>
        <w:rPr/>
      </w:pPr>
      <w:r>
        <w:rPr/>
        <w:t>Librería RoJoPAL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Fecha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20210201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Autor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Ramón Junquera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137_2750939115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Descripción</w:t>
              <w:tab/>
              <w:t>1</w:t>
            </w:r>
          </w:hyperlink>
        </w:p>
        <w:p>
          <w:pPr>
            <w:pStyle w:val="Sumario1"/>
            <w:tabs>
              <w:tab w:val="right" w:pos="9638" w:leader="dot"/>
            </w:tabs>
            <w:rPr/>
          </w:pPr>
          <w:hyperlink w:anchor="__RefHeading___Toc2258_320435842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Base de la tecnología</w:t>
              <w:tab/>
              <w:t>1</w:t>
            </w:r>
          </w:hyperlink>
        </w:p>
        <w:p>
          <w:pPr>
            <w:pStyle w:val="Sumario1"/>
            <w:tabs>
              <w:tab w:val="right" w:pos="9638" w:leader="dot"/>
            </w:tabs>
            <w:rPr/>
          </w:pPr>
          <w:hyperlink w:anchor="__RefHeading___Toc2260_320435842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Voltajes</w:t>
              <w:tab/>
              <w:t>2</w:t>
            </w:r>
          </w:hyperlink>
        </w:p>
        <w:p>
          <w:pPr>
            <w:pStyle w:val="Sumario1"/>
            <w:tabs>
              <w:tab w:val="right" w:pos="9638" w:leader="dot"/>
            </w:tabs>
            <w:rPr/>
          </w:pPr>
          <w:hyperlink w:anchor="__RefHeading___Toc2262_320435842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Anatomía de una línea</w:t>
              <w:tab/>
              <w:t>2</w:t>
            </w:r>
          </w:hyperlink>
        </w:p>
        <w:p>
          <w:pPr>
            <w:pStyle w:val="Sumario1"/>
            <w:tabs>
              <w:tab w:val="right" w:pos="9638" w:leader="dot"/>
            </w:tabs>
            <w:rPr/>
          </w:pPr>
          <w:hyperlink w:anchor="__RefHeading___Toc529_2729259298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Márgenes</w:t>
              <w:tab/>
              <w:t>3</w:t>
            </w:r>
          </w:hyperlink>
        </w:p>
        <w:p>
          <w:pPr>
            <w:pStyle w:val="Sumario1"/>
            <w:tabs>
              <w:tab w:val="right" w:pos="9638" w:leader="dot"/>
            </w:tabs>
            <w:rPr/>
          </w:pPr>
          <w:hyperlink w:anchor="__RefHeading___Toc2264_320435842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Hardware</w:t>
              <w:tab/>
              <w:t>4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0" w:name="__RefHeading___Toc137_2750939115"/>
      <w:bookmarkEnd w:id="0"/>
      <w:r>
        <w:rPr/>
        <w:t>Descripción</w:t>
      </w:r>
    </w:p>
    <w:p>
      <w:pPr>
        <w:pStyle w:val="Normal"/>
        <w:bidi w:val="0"/>
        <w:jc w:val="left"/>
        <w:rPr/>
      </w:pPr>
      <w:r>
        <w:rPr/>
        <w:t>RoJoPAL es una librería escrita en C++ para la familia de microprocesadores ESP32 que permite generar una señal de vídeo compuesto con protocolo PAL para conectarlo directamente a una televisión.</w:t>
      </w:r>
    </w:p>
    <w:p>
      <w:pPr>
        <w:pStyle w:val="Normal"/>
        <w:bidi w:val="0"/>
        <w:jc w:val="left"/>
        <w:rPr/>
      </w:pPr>
      <w:r>
        <w:rPr/>
        <w:t>Todas las pruebas de esta librería se han realizado con un M5Stack Atom Lite y una televisión SHARP AQUOS LC-22LE430E. Es posible que con otros componentes varíe el comportamiento o la librería deba ser ajustada.</w:t>
      </w:r>
    </w:p>
    <w:p>
      <w:pPr>
        <w:pStyle w:val="Ttulo1"/>
        <w:numPr>
          <w:ilvl w:val="0"/>
          <w:numId w:val="2"/>
        </w:numPr>
        <w:rPr/>
      </w:pPr>
      <w:bookmarkStart w:id="1" w:name="__RefHeading___Toc2258_320435842"/>
      <w:bookmarkEnd w:id="1"/>
      <w:r>
        <w:rPr/>
        <w:t>Base de la tecnología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El objetivo es generar una señal analógica que cumpla el protocolo PAL.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Afortunadamente ESP32 tiene un par de pines (25 y 26) que están asignados a los dos DAC (Digital to Analog Converter) integrados.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Para controlar correctamente la frecuencia utilizaremos I2S configurado como salida y conectado a un DAC.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I2S sólo puede utilizar el canal 0 cuando trabajamos con DAC o ADC.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La máxima frecuencia que puede alcanzar I2S es de 160000000.0/3.0/2.0/2.0=13333333.333Hz=13333.333KHz=13.333MHz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Para conseguirla necesitamos: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Configurar las interrupciones mediante registros, sobreescribiendo el valor que se define en la configuración de I2S.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Utilizar la máxima velocidad de las CPUS. La manera más sencilla es incluyendo una referencia en el archivo platformio.ini. Es más limpio que incluir en código el comando rtc_clk_cpu_freq_set_config_fast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Lo que haremos será calcular cuántas muestras debe contener un línea.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Definiremos un array de ese tamaño y lo rellenaremos con los datos que corresponda antes de pedir a I2S que lo envíe al DAC.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Como el tiempo de una línea es fijo, no deberíamos tardar demasiado en componer las muestras de una línea. Sino provocaremos un error de sincronía vertical.</w:t>
      </w:r>
    </w:p>
    <w:p>
      <w:pPr>
        <w:pStyle w:val="Ttulo1"/>
        <w:numPr>
          <w:ilvl w:val="0"/>
          <w:numId w:val="2"/>
        </w:numPr>
        <w:rPr/>
      </w:pPr>
      <w:bookmarkStart w:id="2" w:name="__RefHeading___Toc2260_320435842"/>
      <w:bookmarkEnd w:id="2"/>
      <w:r>
        <w:rPr/>
        <w:t>Voltajes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El rango de voltajes de los DAC integrados es de 0 a 3.3V.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3.3V correspondería al máximo valor DAC (255).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Calcularemos los valores teóricos DAC de los voltajes definidos en el sistema PAL.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Añadimos una columna a la tabla con lo valores que utilizaremos en la librería, obtenidos de la práctica.</w:t>
      </w:r>
    </w:p>
    <w:tbl>
      <w:tblPr>
        <w:tblW w:w="878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1361"/>
        <w:gridCol w:w="911"/>
        <w:gridCol w:w="3171"/>
        <w:gridCol w:w="1983"/>
      </w:tblGrid>
      <w:tr>
        <w:trPr/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DAC teórico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DAC práctico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Nula</w:t>
            </w:r>
          </w:p>
        </w:tc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signalNull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0.000V</w:t>
            </w:r>
          </w:p>
        </w:tc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255/3.3*0.000=0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Base</w:t>
            </w:r>
          </w:p>
        </w:tc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signalBase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0.285V</w:t>
            </w:r>
          </w:p>
        </w:tc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255/3.3*0.285=22.022~22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Negro puro</w:t>
            </w:r>
          </w:p>
        </w:tc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signalBlack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0.339V</w:t>
            </w:r>
          </w:p>
        </w:tc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255/3.3*0.339=26.195~26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Blanco puro</w:t>
            </w:r>
          </w:p>
        </w:tc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signalWhite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1.000V</w:t>
            </w:r>
          </w:p>
        </w:tc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255/3.3*1.000=77.272~77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75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Notas: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Por debajo de signalBlack=7 obtenemos fallos de sincronización vertical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Por debajo de signalBase=11 obtenemos fallos de sincronización horizontal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Por encima de signalWhite=75 obtenemos saturación cuando la imagen es grande y tiene mucho blanco.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Aunque en teoría la señal de negro puro está por encima de la base, en la práctica el decodificador de la televisión permite intercambiarlos.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Todas las tonalidades mostradas deben pertenecer al rango entre el negro puro y el blanco puro. Cuanto más amplio sea este rango más tonos podremos mostrar. El rango DAC teórico es de 77-26+1=52. Con los ajustes prácticos conseguimos 75-7+1=69. Hemos conseguido 69-52=17 nuevas tonalidades. Conclusión: las imágenes representadas tendrán un máximo de 69 tonalidades debido a restricciones de hardware y sistema PAL.</w:t>
      </w:r>
    </w:p>
    <w:p>
      <w:pPr>
        <w:pStyle w:val="Ttulo1"/>
        <w:numPr>
          <w:ilvl w:val="0"/>
          <w:numId w:val="2"/>
        </w:numPr>
        <w:rPr/>
      </w:pPr>
      <w:bookmarkStart w:id="3" w:name="__RefHeading___Toc2262_320435842"/>
      <w:bookmarkEnd w:id="3"/>
      <w:r>
        <w:rPr/>
        <w:t>Anatomía de una línea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El array que contiene las muestras de la línea que vamos a dibujar está ordenado.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Pero sabemos que hay una característica en PAL que nos obliga a intercambiar las columnas pares e impares. Esta tarea puede llevar un precioso tiempo que quizás necesitemos para no tener problemas con la sincronía vertical. Intentaremos evitar este cálculo…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Si una secuencia de muestras iguales tiene un número par de muestras, no es necesario intercambiar columnas. Podemos escribirlas secuencialmente.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Sabemos que las líneas de sincronismo vertical se componen de dos medias líneas.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Y una media línea, se compone a su vez de dos secuencias de señal.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Si una secuencia de señal debe ser par, una media línea será la suma de dos número pares, que también será par.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Dos medias líneas sumarán una línea completa que tendrá un número de muestras divisible por 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Teniendo en cuenta esto, comenzaremos con los cálculos.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Antes hemos definido que utilizaremos la máxima frecuencia que permite I2S: 13.333MHz.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El periodo asociado a esta frecuencia es de 1/13.333=0.075µs. Es la duración de una muestra.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Sabemos que una línea tiene una duración fija de 64µs.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Podemos calcular el número de muestras que necesitamos para componer una línea: 64/0.075=853.333~853 muestras/línea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853 no es divisible por 4. Los divisibles por 4 más próximos son 852 y 856. Tomaremos 852 por estar más cerca.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Estructura de una línea con información gráfica:</w:t>
      </w:r>
    </w:p>
    <w:tbl>
      <w:tblPr>
        <w:tblW w:w="833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8"/>
        <w:gridCol w:w="1255"/>
        <w:gridCol w:w="1124"/>
        <w:gridCol w:w="2550"/>
        <w:gridCol w:w="2219"/>
      </w:tblGrid>
      <w:tr>
        <w:trPr/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Muestras teóricas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Muestras prácticas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signalNull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4.7µs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4.7/0.075=62.666~63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64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signalBase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5.7µs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5.7/0.075=76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76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imagen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/>
              <w:t>51.93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µs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51.93/0.075=692.4~692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690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signalBase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1.67µs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1.67/0.075=22.2~22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22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64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µs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853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852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Media señal larga:</w:t>
      </w:r>
    </w:p>
    <w:tbl>
      <w:tblPr>
        <w:tblW w:w="833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8"/>
        <w:gridCol w:w="1254"/>
        <w:gridCol w:w="1125"/>
        <w:gridCol w:w="2496"/>
        <w:gridCol w:w="2273"/>
      </w:tblGrid>
      <w:tr>
        <w:trPr/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Muestras teóricas</w:t>
            </w:r>
          </w:p>
        </w:tc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Muestras prácticas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signalNull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29.7µs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29.7/0.075=396</w:t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396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signalBase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 xml:space="preserve">2.3µs 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2.3/0.075=30.6~31</w:t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µs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427</w:t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426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Media señal corta:</w:t>
      </w:r>
    </w:p>
    <w:tbl>
      <w:tblPr>
        <w:tblW w:w="833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8"/>
        <w:gridCol w:w="1254"/>
        <w:gridCol w:w="1125"/>
        <w:gridCol w:w="2496"/>
        <w:gridCol w:w="2273"/>
      </w:tblGrid>
      <w:tr>
        <w:trPr/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Muestras teóricas</w:t>
            </w:r>
          </w:p>
        </w:tc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Muestras prácticas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signalNull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 xml:space="preserve">2.3µs 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2.3/0.075=30.6~31</w:t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signalBase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29.7µs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29.7/0.075=396</w:t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396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µs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427</w:t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426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Media señal media:</w:t>
      </w:r>
    </w:p>
    <w:tbl>
      <w:tblPr>
        <w:tblW w:w="833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8"/>
        <w:gridCol w:w="1254"/>
        <w:gridCol w:w="1125"/>
        <w:gridCol w:w="2496"/>
        <w:gridCol w:w="2273"/>
      </w:tblGrid>
      <w:tr>
        <w:trPr/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Secuencia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Muestras teóricas</w:t>
            </w:r>
          </w:p>
        </w:tc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Muestras prácticas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signalNull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 xml:space="preserve">4.7µs 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4.7/0.075=62.6~63</w:t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62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signalBase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27.3µs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27.3/0.075=364</w:t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364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u w:val="none"/>
                <w:lang w:val="es-ES" w:eastAsia="zh-CN" w:bidi="hi-IN"/>
              </w:rPr>
              <w:t>µs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427</w:t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426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</w:r>
    </w:p>
    <w:p>
      <w:pPr>
        <w:pStyle w:val="Ttulo1"/>
        <w:numPr>
          <w:ilvl w:val="0"/>
          <w:numId w:val="2"/>
        </w:numPr>
        <w:rPr/>
      </w:pPr>
      <w:bookmarkStart w:id="4" w:name="__RefHeading___Toc529_2729259298"/>
      <w:bookmarkEnd w:id="4"/>
      <w:r>
        <w:rPr/>
        <w:t>Márgenes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Sabemos que en PAL, un fotograma completo se envía en dos partes. Primero sus líneas impares y después las pares.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Nosotros no descompondremos la imagen en líneas pares e impares. Nos limitaremos a mostrar el mismo fotograma tanto para líneas pares como impares.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Tendremos una tasa de refresco de 50Hz. Como contrapartida, tendremos la mitad de la resolución vertical.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Según el sistema PAL es necesario dejar márgenes verticales.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La máxima resolución vertical completa es de 576 pixels.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La máxima resolución de media imagen es de 288 pixels.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La librería consigue una resolución máxima de 218 pixels. Si lo aumentamos comenzamos con problemas de sincronismo vertical.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Se limita este tamaño. Las líneas sin información gráfica se rellenan de negro y se añaden a los márgenes.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En horizontal ocurre algo parecido. PAL no obliga a definir márgenes horizontales, pero si no lo hacemos la imagen se perderá por el marco de la televisión.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La librería limita la resolución horizontal a 653 pixels. El resto hasta los 690 pixels teóricos se rellenan con pixels negros y se añaden a los márgenes.</w:t>
      </w:r>
    </w:p>
    <w:p>
      <w:pPr>
        <w:pStyle w:val="Ttulo1"/>
        <w:numPr>
          <w:ilvl w:val="0"/>
          <w:numId w:val="2"/>
        </w:numPr>
        <w:rPr/>
      </w:pPr>
      <w:bookmarkStart w:id="5" w:name="__RefHeading___Toc2264_320435842"/>
      <w:bookmarkEnd w:id="5"/>
      <w:r>
        <w:rPr/>
        <w:t>Hardware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La manera más sencilla de sacar la señal de vídeo es conectar el pin DAC (por defecto el 25) y GND a un conector coaxial que vaya directamente a la televisión.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La manera más limpia es montar una interface con: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Un M5Stack Atom Lite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Un conector RCA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El kit M5Stack Atomic DIY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 xml:space="preserve">Pág.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umario2">
    <w:name w:val="TOC 2"/>
    <w:basedOn w:val="Ndice"/>
    <w:pPr>
      <w:tabs>
        <w:tab w:val="clear" w:pos="709"/>
        <w:tab w:val="right" w:pos="9355" w:leader="dot"/>
      </w:tabs>
      <w:ind w:left="283" w:hanging="0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1938</TotalTime>
  <Application>LibreOffice/6.4.6.2$Linux_X86_64 LibreOffice_project/40$Build-2</Application>
  <Pages>4</Pages>
  <Words>1053</Words>
  <Characters>5693</Characters>
  <CharactersWithSpaces>6576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2021-01-11T13:58:22Z</dcterms:created>
  <dc:creator/>
  <dc:description/>
  <dc:language>es-ES</dc:language>
  <cp:lastModifiedBy/>
  <dcterms:modified xsi:type="dcterms:W3CDTF">2021-02-11T17:38:27Z</dcterms:modified>
  <cp:revision>246</cp:revision>
  <dc:subject/>
  <dc:title/>
</cp:coreProperties>
</file>