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B9ABDC" w14:textId="77777777" w:rsidR="006618FD" w:rsidRDefault="006618FD" w:rsidP="006618FD">
      <w:pPr>
        <w:pStyle w:val="NormalWeb"/>
      </w:pPr>
      <w:r>
        <w:t>In recent months, we have observed an increase in the default rate within the broker channel. As shown in Figure 1, following the recent price change, we have also seen some deterioration in our competitive ranking in the broker market, particularly for customers in the higher Delphi score groups.</w:t>
      </w:r>
    </w:p>
    <w:p w14:paraId="3A02DE1B" w14:textId="77777777" w:rsidR="006618FD" w:rsidRDefault="006618FD" w:rsidP="006618FD">
      <w:pPr>
        <w:pStyle w:val="NormalWeb"/>
      </w:pPr>
      <w:r>
        <w:t>The objective of this work is therefore to strengthen risk control within the broker channel and help mitigate this emerging default risk.</w:t>
      </w:r>
    </w:p>
    <w:p w14:paraId="1B0F7AB7" w14:textId="46CD2F12" w:rsidR="006618FD" w:rsidRDefault="006618FD" w:rsidP="006618FD">
      <w:pPr>
        <w:pStyle w:val="NormalWeb"/>
      </w:pPr>
      <w:r>
        <w:t xml:space="preserve">For the analysis, we used applications </w:t>
      </w:r>
      <w:r w:rsidR="00155A8A">
        <w:t xml:space="preserve">with first payment </w:t>
      </w:r>
      <w:r>
        <w:t xml:space="preserve">since February 2026 with sufficiently mature performance. We assessed the rules across three different bad </w:t>
      </w:r>
      <w:proofErr w:type="gramStart"/>
      <w:r>
        <w:t>definitions, and</w:t>
      </w:r>
      <w:proofErr w:type="gramEnd"/>
      <w:r>
        <w:t xml:space="preserve"> only retained rules that showed consistently strong performance across all three measures.</w:t>
      </w:r>
    </w:p>
    <w:p w14:paraId="3BE38E34" w14:textId="77777777" w:rsidR="006618FD" w:rsidRDefault="006618FD" w:rsidP="006618FD">
      <w:pPr>
        <w:pStyle w:val="NormalWeb"/>
      </w:pPr>
      <w:r>
        <w:t xml:space="preserve">The work itself was split into two parts, and we used </w:t>
      </w:r>
      <w:r>
        <w:rPr>
          <w:rStyle w:val="Strong"/>
        </w:rPr>
        <w:t>PRAISE for both</w:t>
      </w:r>
      <w:r>
        <w:t>.</w:t>
      </w:r>
    </w:p>
    <w:p w14:paraId="23D344EC" w14:textId="0CF39FF6" w:rsidR="006618FD" w:rsidRDefault="006618FD" w:rsidP="006618FD">
      <w:pPr>
        <w:pStyle w:val="NormalWeb"/>
      </w:pPr>
      <w:r>
        <w:t xml:space="preserve">The first part was </w:t>
      </w:r>
      <w:proofErr w:type="gramStart"/>
      <w:r>
        <w:rPr>
          <w:rStyle w:val="Strong"/>
        </w:rPr>
        <w:t>rule</w:t>
      </w:r>
      <w:proofErr w:type="gramEnd"/>
      <w:r>
        <w:rPr>
          <w:rStyle w:val="Strong"/>
        </w:rPr>
        <w:t xml:space="preserve"> optimisation</w:t>
      </w:r>
      <w:r>
        <w:t xml:space="preserve">. We used PRAISE to revisit the rules already implemented and identify opportunities to </w:t>
      </w:r>
      <w:r w:rsidR="00155A8A">
        <w:t>optimise</w:t>
      </w:r>
      <w:r>
        <w:t xml:space="preserve">. </w:t>
      </w:r>
    </w:p>
    <w:p w14:paraId="7B07D804" w14:textId="467153B7" w:rsidR="006618FD" w:rsidRDefault="006618FD" w:rsidP="006618FD">
      <w:pPr>
        <w:pStyle w:val="NormalWeb"/>
      </w:pPr>
      <w:r>
        <w:t xml:space="preserve">The second part was </w:t>
      </w:r>
      <w:r>
        <w:rPr>
          <w:rStyle w:val="Strong"/>
        </w:rPr>
        <w:t>new rule generation</w:t>
      </w:r>
      <w:r>
        <w:t>. We then used PRAISE to search for additional high-risk segments that are not sufficiently captured by the existing rules</w:t>
      </w:r>
      <w:r w:rsidR="00155A8A">
        <w:t>.</w:t>
      </w:r>
    </w:p>
    <w:p w14:paraId="76F6F9D3" w14:textId="77777777" w:rsidR="006618FD" w:rsidRDefault="006618FD" w:rsidP="006618FD">
      <w:pPr>
        <w:pStyle w:val="NormalWeb"/>
      </w:pPr>
      <w:r>
        <w:t>From these two exercises, we identified two proposed changes.</w:t>
      </w:r>
    </w:p>
    <w:p w14:paraId="7BDB14E6" w14:textId="77777777" w:rsidR="006618FD" w:rsidRDefault="006618FD" w:rsidP="006618FD">
      <w:pPr>
        <w:pStyle w:val="NormalWeb"/>
      </w:pPr>
      <w:r>
        <w:t>The first is an extension of an existing rule. The current rule targets customers with a Delphi score between 900 and 975. Following the PRAISE optimisation, we propose extending the range to 1,025 and slightly tightening the underlying thresholds.</w:t>
      </w:r>
    </w:p>
    <w:p w14:paraId="1EBDC87F" w14:textId="77777777" w:rsidR="006618FD" w:rsidRDefault="006618FD" w:rsidP="006618FD">
      <w:pPr>
        <w:pStyle w:val="NormalWeb"/>
      </w:pPr>
      <w:r>
        <w:t xml:space="preserve">In simple terms, this rule is looking for customers who already have a relatively weaker Delphi profile and who are also showing signs of greater </w:t>
      </w:r>
      <w:r>
        <w:rPr>
          <w:rStyle w:val="Strong"/>
        </w:rPr>
        <w:t>current credit exposure or recent credit demand</w:t>
      </w:r>
      <w:r>
        <w:t>. For example, higher credit limits on active current accounts or a greater number of recently opened bank cards.</w:t>
      </w:r>
    </w:p>
    <w:p w14:paraId="71C17D3C" w14:textId="77777777" w:rsidR="006618FD" w:rsidRDefault="006618FD" w:rsidP="006618FD">
      <w:pPr>
        <w:pStyle w:val="NormalWeb"/>
      </w:pPr>
      <w:r>
        <w:t xml:space="preserve">The second rule is a </w:t>
      </w:r>
      <w:r>
        <w:rPr>
          <w:rStyle w:val="Strong"/>
        </w:rPr>
        <w:t>new rule generated through PRAISE</w:t>
      </w:r>
      <w:r>
        <w:t xml:space="preserve">. Again, this focuses on customers in the Delphi 900 to 1,025 range, but from a different perspective. Rather than focusing on current credit exposure, this rule looks at the </w:t>
      </w:r>
      <w:r>
        <w:rPr>
          <w:rStyle w:val="Strong"/>
        </w:rPr>
        <w:t>strength of the customer’s established credit history</w:t>
      </w:r>
      <w:r>
        <w:t>. It identifies customers with relatively limited evidence of successfully settled credit accounts.</w:t>
      </w:r>
    </w:p>
    <w:p w14:paraId="26EE637B" w14:textId="77777777" w:rsidR="006618FD" w:rsidRDefault="006618FD" w:rsidP="006618FD">
      <w:pPr>
        <w:pStyle w:val="NormalWeb"/>
      </w:pPr>
      <w:proofErr w:type="gramStart"/>
      <w:r>
        <w:t>So</w:t>
      </w:r>
      <w:proofErr w:type="gramEnd"/>
      <w:r>
        <w:t xml:space="preserve"> the two rules are complementary: the first considers </w:t>
      </w:r>
      <w:r>
        <w:rPr>
          <w:rStyle w:val="Strong"/>
        </w:rPr>
        <w:t>current credit exposure and recent credit demand</w:t>
      </w:r>
      <w:r>
        <w:t xml:space="preserve">, while the second considers the </w:t>
      </w:r>
      <w:r>
        <w:rPr>
          <w:rStyle w:val="Strong"/>
        </w:rPr>
        <w:t>depth and quality of the customer’s previous credit history</w:t>
      </w:r>
      <w:r>
        <w:t>.</w:t>
      </w:r>
    </w:p>
    <w:p w14:paraId="226B22C1" w14:textId="77777777" w:rsidR="006618FD" w:rsidRDefault="006618FD" w:rsidP="006618FD">
      <w:pPr>
        <w:pStyle w:val="NormalWeb"/>
      </w:pPr>
      <w:r>
        <w:t>The overall impact is summarised in Figure 2.</w:t>
      </w:r>
    </w:p>
    <w:p w14:paraId="0320FB04" w14:textId="77777777" w:rsidR="006618FD" w:rsidRDefault="006618FD" w:rsidP="006618FD">
      <w:pPr>
        <w:pStyle w:val="NormalWeb"/>
      </w:pPr>
      <w:r>
        <w:t xml:space="preserve">Looking at the combined strategy, the portfolio bad rate reduces from </w:t>
      </w:r>
      <w:r>
        <w:rPr>
          <w:rStyle w:val="Strong"/>
        </w:rPr>
        <w:t>0.71% to 0.60%</w:t>
      </w:r>
      <w:r>
        <w:t>.</w:t>
      </w:r>
    </w:p>
    <w:p w14:paraId="234A8512" w14:textId="77777777" w:rsidR="006618FD" w:rsidRDefault="006618FD" w:rsidP="006618FD">
      <w:pPr>
        <w:pStyle w:val="NormalWeb"/>
      </w:pPr>
      <w:r>
        <w:t xml:space="preserve">The marginal population identified by these two rules has a bad rate of </w:t>
      </w:r>
      <w:r>
        <w:rPr>
          <w:rStyle w:val="Strong"/>
        </w:rPr>
        <w:t>2.91%</w:t>
      </w:r>
      <w:r>
        <w:t xml:space="preserve">, which is more than </w:t>
      </w:r>
      <w:r>
        <w:rPr>
          <w:rStyle w:val="Strong"/>
        </w:rPr>
        <w:t>four times the baseline portfolio bad rate</w:t>
      </w:r>
      <w:r>
        <w:t>.</w:t>
      </w:r>
    </w:p>
    <w:p w14:paraId="7CDFDB5B" w14:textId="77777777" w:rsidR="006618FD" w:rsidRDefault="006618FD" w:rsidP="006618FD">
      <w:pPr>
        <w:pStyle w:val="NormalWeb"/>
      </w:pPr>
      <w:r>
        <w:lastRenderedPageBreak/>
        <w:t xml:space="preserve">At the same time, we remove approximately </w:t>
      </w:r>
      <w:r>
        <w:rPr>
          <w:rStyle w:val="Strong"/>
        </w:rPr>
        <w:t>18.6% of bad balance</w:t>
      </w:r>
      <w:r>
        <w:t xml:space="preserve">, for around a </w:t>
      </w:r>
      <w:r>
        <w:rPr>
          <w:rStyle w:val="Strong"/>
        </w:rPr>
        <w:t>4.5% reduction in production</w:t>
      </w:r>
      <w:r>
        <w:t xml:space="preserve">. The good-to-bad ratio is around </w:t>
      </w:r>
      <w:r>
        <w:rPr>
          <w:rStyle w:val="Strong"/>
        </w:rPr>
        <w:t>4.7</w:t>
      </w:r>
      <w:r>
        <w:t>, which indicates that the rules are identifying a relatively concentrated high-risk population.</w:t>
      </w:r>
    </w:p>
    <w:p w14:paraId="32EF1E68" w14:textId="7CA8B213" w:rsidR="006618FD" w:rsidRDefault="006618FD" w:rsidP="006618FD">
      <w:pPr>
        <w:pStyle w:val="NormalWeb"/>
        <w:rPr>
          <w:rFonts w:hint="eastAsia"/>
        </w:rPr>
      </w:pPr>
      <w:r>
        <w:t xml:space="preserve">The benefit becomes particularly clear when we compare this with simply applying a broader Delphi cut-off. </w:t>
      </w:r>
      <w:r>
        <w:rPr>
          <w:rStyle w:val="Strong"/>
        </w:rPr>
        <w:t xml:space="preserve">Compared with a Delphi below 1,000 </w:t>
      </w:r>
      <w:proofErr w:type="gramStart"/>
      <w:r>
        <w:rPr>
          <w:rStyle w:val="Strong"/>
        </w:rPr>
        <w:t>cut-off</w:t>
      </w:r>
      <w:proofErr w:type="gramEnd"/>
      <w:r>
        <w:rPr>
          <w:rStyle w:val="Strong"/>
        </w:rPr>
        <w:t>, the proposed strategy removes more bad balance while reducing less production, retaining approximately £380,000 more monthly production based on July 2026 volume</w:t>
      </w:r>
    </w:p>
    <w:p w14:paraId="1A6E486F" w14:textId="77777777" w:rsidR="006618FD" w:rsidRDefault="006618FD" w:rsidP="006618FD">
      <w:pPr>
        <w:pStyle w:val="NormalWeb"/>
      </w:pPr>
      <w:r>
        <w:t xml:space="preserve">So overall, PRAISE allows us to achieve a much more targeted tightening: </w:t>
      </w:r>
      <w:r>
        <w:rPr>
          <w:rStyle w:val="Strong"/>
        </w:rPr>
        <w:t>greater risk reduction, with lower production impact than a broad score cut-off approach</w:t>
      </w:r>
      <w:r>
        <w:t>.</w:t>
      </w:r>
    </w:p>
    <w:p w14:paraId="13DD9D33" w14:textId="77777777" w:rsidR="006618FD" w:rsidRDefault="006618FD" w:rsidP="006618FD">
      <w:pPr>
        <w:pStyle w:val="NormalWeb"/>
      </w:pPr>
      <w:r>
        <w:t xml:space="preserve">Finally, in terms of the commercial impact, based on the last six months of data, the combined proposed rules would result in around a </w:t>
      </w:r>
      <w:r>
        <w:rPr>
          <w:rStyle w:val="Strong"/>
        </w:rPr>
        <w:t>4.4% reduction in production</w:t>
      </w:r>
      <w:r>
        <w:t xml:space="preserve">. Based on July 2026 volumes, this is equivalent to approximately </w:t>
      </w:r>
      <w:r>
        <w:rPr>
          <w:rStyle w:val="Strong"/>
        </w:rPr>
        <w:t>£380,000 of monthly production</w:t>
      </w:r>
      <w:r>
        <w:t>.</w:t>
      </w:r>
    </w:p>
    <w:p w14:paraId="37E45CF5" w14:textId="77777777" w:rsidR="006618FD" w:rsidRDefault="006618FD" w:rsidP="006618FD">
      <w:pPr>
        <w:pStyle w:val="NormalWeb"/>
      </w:pPr>
      <w:r>
        <w:t>We are therefore seeking approval to implement these two proposed rules, subject to the usual post-implementation monitoring to confirm that the expected risk and production impacts remain in line with expectations.</w:t>
      </w:r>
    </w:p>
    <w:p w14:paraId="3AA2C1C9" w14:textId="77777777" w:rsidR="006618FD" w:rsidRDefault="006618FD"/>
    <w:sectPr w:rsidR="00661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FD"/>
    <w:rsid w:val="00155A8A"/>
    <w:rsid w:val="006618FD"/>
    <w:rsid w:val="00884760"/>
    <w:rsid w:val="008C337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F393F"/>
  <w15:chartTrackingRefBased/>
  <w15:docId w15:val="{B0F11669-3920-B448-8F7C-6F87762E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8FD"/>
    <w:rPr>
      <w:rFonts w:eastAsiaTheme="majorEastAsia" w:cstheme="majorBidi"/>
      <w:color w:val="272727" w:themeColor="text1" w:themeTint="D8"/>
    </w:rPr>
  </w:style>
  <w:style w:type="paragraph" w:styleId="Title">
    <w:name w:val="Title"/>
    <w:basedOn w:val="Normal"/>
    <w:next w:val="Normal"/>
    <w:link w:val="TitleChar"/>
    <w:uiPriority w:val="10"/>
    <w:qFormat/>
    <w:rsid w:val="00661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8FD"/>
    <w:pPr>
      <w:spacing w:before="160"/>
      <w:jc w:val="center"/>
    </w:pPr>
    <w:rPr>
      <w:i/>
      <w:iCs/>
      <w:color w:val="404040" w:themeColor="text1" w:themeTint="BF"/>
    </w:rPr>
  </w:style>
  <w:style w:type="character" w:customStyle="1" w:styleId="QuoteChar">
    <w:name w:val="Quote Char"/>
    <w:basedOn w:val="DefaultParagraphFont"/>
    <w:link w:val="Quote"/>
    <w:uiPriority w:val="29"/>
    <w:rsid w:val="006618FD"/>
    <w:rPr>
      <w:i/>
      <w:iCs/>
      <w:color w:val="404040" w:themeColor="text1" w:themeTint="BF"/>
    </w:rPr>
  </w:style>
  <w:style w:type="paragraph" w:styleId="ListParagraph">
    <w:name w:val="List Paragraph"/>
    <w:basedOn w:val="Normal"/>
    <w:uiPriority w:val="34"/>
    <w:qFormat/>
    <w:rsid w:val="006618FD"/>
    <w:pPr>
      <w:ind w:left="720"/>
      <w:contextualSpacing/>
    </w:pPr>
  </w:style>
  <w:style w:type="character" w:styleId="IntenseEmphasis">
    <w:name w:val="Intense Emphasis"/>
    <w:basedOn w:val="DefaultParagraphFont"/>
    <w:uiPriority w:val="21"/>
    <w:qFormat/>
    <w:rsid w:val="006618FD"/>
    <w:rPr>
      <w:i/>
      <w:iCs/>
      <w:color w:val="0F4761" w:themeColor="accent1" w:themeShade="BF"/>
    </w:rPr>
  </w:style>
  <w:style w:type="paragraph" w:styleId="IntenseQuote">
    <w:name w:val="Intense Quote"/>
    <w:basedOn w:val="Normal"/>
    <w:next w:val="Normal"/>
    <w:link w:val="IntenseQuoteChar"/>
    <w:uiPriority w:val="30"/>
    <w:qFormat/>
    <w:rsid w:val="00661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8FD"/>
    <w:rPr>
      <w:i/>
      <w:iCs/>
      <w:color w:val="0F4761" w:themeColor="accent1" w:themeShade="BF"/>
    </w:rPr>
  </w:style>
  <w:style w:type="character" w:styleId="IntenseReference">
    <w:name w:val="Intense Reference"/>
    <w:basedOn w:val="DefaultParagraphFont"/>
    <w:uiPriority w:val="32"/>
    <w:qFormat/>
    <w:rsid w:val="006618FD"/>
    <w:rPr>
      <w:b/>
      <w:bCs/>
      <w:smallCaps/>
      <w:color w:val="0F4761" w:themeColor="accent1" w:themeShade="BF"/>
      <w:spacing w:val="5"/>
    </w:rPr>
  </w:style>
  <w:style w:type="paragraph" w:styleId="NormalWeb">
    <w:name w:val="Normal (Web)"/>
    <w:basedOn w:val="Normal"/>
    <w:uiPriority w:val="99"/>
    <w:semiHidden/>
    <w:unhideWhenUsed/>
    <w:rsid w:val="006618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18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a6530</dc:creator>
  <cp:keywords/>
  <dc:description/>
  <cp:lastModifiedBy>a6530</cp:lastModifiedBy>
  <cp:revision>2</cp:revision>
  <dcterms:created xsi:type="dcterms:W3CDTF">2026-08-26T16:12:00Z</dcterms:created>
  <dcterms:modified xsi:type="dcterms:W3CDTF">2026-08-26T16:26:00Z</dcterms:modified>
</cp:coreProperties>
</file>