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after="120" w:before="0"/>
        <w:jc w:val="center"/>
      </w:pPr>
      <w:r>
        <w:rPr>
          <w:rFonts w:ascii="Georgia" w:cs="Georgia" w:eastAsia="Georgia" w:hAnsi="Georgia"/>
          <w:b/>
          <w:bCs/>
          <w:i w:val="false"/>
          <w:iCs w:val="false"/>
          <w:color w:val="1A3A5C"/>
          <w:sz w:val="36"/>
          <w:szCs w:val="36"/>
        </w:rPr>
        <w:t xml:space="preserve">CERTIFICADO DE AUTORÍA INTELECTUAL</w:t>
      </w:r>
    </w:p>
    <w:p>
      <w:pPr>
        <w:spacing w:after="80" w:before="0"/>
        <w:jc w:val="center"/>
      </w:pPr>
      <w:r>
        <w:rPr>
          <w:rFonts w:ascii="Georgia" w:cs="Georgia" w:eastAsia="Georgia" w:hAnsi="Georgia"/>
          <w:b w:val="false"/>
          <w:bCs w:val="false"/>
          <w:i/>
          <w:iCs/>
          <w:color w:val="9A7200"/>
          <w:sz w:val="24"/>
          <w:szCs w:val="24"/>
        </w:rPr>
        <w:t xml:space="preserve">La Colmena — Proyecto de IA Distribuida Descentralizada</w:t>
      </w:r>
    </w:p>
    <w:p>
      <w:pPr>
        <w:spacing w:after="300" w:before="0"/>
        <w:jc w:val="center"/>
      </w:pPr>
      <w:r>
        <w:rPr>
          <w:rFonts w:ascii="Arial" w:cs="Arial" w:eastAsia="Arial" w:hAnsi="Arial"/>
          <w:b w:val="false"/>
          <w:bCs w:val="false"/>
          <w:i w:val="false"/>
          <w:iCs w:val="false"/>
          <w:color w:val="555555"/>
          <w:sz w:val="20"/>
          <w:szCs w:val="20"/>
        </w:rPr>
        <w:t xml:space="preserve">20 de febrero de 2026 — 20:44:40 UTC</w:t>
      </w:r>
    </w:p>
    <w:p>
      <w:pPr>
        <w:pBdr>
          <w:bottom w:val="single" w:color="1A3A5C" w:sz="8" w:space="1"/>
        </w:pBdr>
        <w:spacing w:after="300"/>
      </w:pPr>
    </w:p>
    <w:p>
      <w:pPr>
        <w:pStyle w:val="Heading1"/>
      </w:pPr>
      <w:r>
        <w:t xml:space="preserve">Identidad del Autor</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AF0F6" w:val="clear"/>
            <w:tcMar>
              <w:top w:type="dxa" w:w="200"/>
              <w:left w:type="dxa" w:w="240"/>
              <w:bottom w:type="dxa" w:w="220"/>
              <w:right w:type="dxa" w:w="240"/>
            </w:tcMar>
          </w:tcPr>
          <w:p>
            <w:pPr>
              <w:spacing w:after="160" w:before="0"/>
              <w:jc w:val="left"/>
            </w:pPr>
            <w:r>
              <w:rPr>
                <w:rFonts w:ascii="Arial" w:cs="Arial" w:eastAsia="Arial" w:hAnsi="Arial"/>
                <w:b/>
                <w:bCs/>
                <w:i w:val="false"/>
                <w:iCs w:val="false"/>
                <w:color w:val="555555"/>
                <w:sz w:val="20"/>
                <w:szCs w:val="20"/>
              </w:rPr>
              <w:t xml:space="preserve">Nombre completo:</w:t>
            </w:r>
            <w:r>
              <w:rPr>
                <w:rFonts w:ascii="Arial" w:cs="Arial" w:eastAsia="Arial" w:hAnsi="Arial"/>
                <w:b/>
                <w:bCs/>
                <w:i w:val="false"/>
                <w:iCs w:val="false"/>
                <w:color w:val="1A3A5C"/>
                <w:sz w:val="26"/>
                <w:szCs w:val="26"/>
              </w:rPr>
              <w:t xml:space="preserve">  Xosé Ramón Ramos Fandiño</w:t>
            </w:r>
          </w:p>
          <w:p>
            <w:pPr>
              <w:spacing w:after="160" w:before="0"/>
              <w:jc w:val="left"/>
            </w:pPr>
            <w:r>
              <w:rPr>
                <w:rFonts w:ascii="Arial" w:cs="Arial" w:eastAsia="Arial" w:hAnsi="Arial"/>
                <w:b/>
                <w:bCs/>
                <w:i w:val="false"/>
                <w:iCs w:val="false"/>
                <w:color w:val="555555"/>
                <w:sz w:val="20"/>
                <w:szCs w:val="20"/>
              </w:rPr>
              <w:t xml:space="preserve">Rol:</w:t>
            </w:r>
            <w:r>
              <w:rPr>
                <w:rFonts w:ascii="Arial" w:cs="Arial" w:eastAsia="Arial" w:hAnsi="Arial"/>
                <w:b w:val="false"/>
                <w:bCs w:val="false"/>
                <w:i w:val="false"/>
                <w:iCs w:val="false"/>
                <w:color w:val="222222"/>
                <w:sz w:val="22"/>
                <w:szCs w:val="22"/>
              </w:rPr>
              <w:t xml:space="preserve">  Fundador y Autor Intelectual del proyecto La Colmena</w:t>
            </w:r>
          </w:p>
          <w:p>
            <w:pPr>
              <w:spacing w:after="160" w:before="0"/>
              <w:jc w:val="left"/>
            </w:pPr>
            <w:r>
              <w:rPr>
                <w:rFonts w:ascii="Arial" w:cs="Arial" w:eastAsia="Arial" w:hAnsi="Arial"/>
                <w:b/>
                <w:bCs/>
                <w:i w:val="false"/>
                <w:iCs w:val="false"/>
                <w:color w:val="555555"/>
                <w:sz w:val="20"/>
                <w:szCs w:val="20"/>
              </w:rPr>
              <w:t xml:space="preserve">Fecha de creación:</w:t>
            </w:r>
            <w:r>
              <w:rPr>
                <w:rFonts w:ascii="Arial" w:cs="Arial" w:eastAsia="Arial" w:hAnsi="Arial"/>
                <w:b w:val="false"/>
                <w:bCs w:val="false"/>
                <w:i w:val="false"/>
                <w:iCs w:val="false"/>
                <w:color w:val="222222"/>
                <w:sz w:val="22"/>
                <w:szCs w:val="22"/>
              </w:rPr>
              <w:t xml:space="preserve">  20 de febrero de 2026</w:t>
            </w:r>
          </w:p>
          <w:p>
            <w:pPr>
              <w:spacing w:after="160" w:before="0"/>
              <w:jc w:val="left"/>
            </w:pPr>
            <w:r>
              <w:rPr>
                <w:rFonts w:ascii="Arial" w:cs="Arial" w:eastAsia="Arial" w:hAnsi="Arial"/>
                <w:b/>
                <w:bCs/>
                <w:i w:val="false"/>
                <w:iCs w:val="false"/>
                <w:color w:val="555555"/>
                <w:sz w:val="20"/>
                <w:szCs w:val="20"/>
              </w:rPr>
              <w:t xml:space="preserve">Nacionalidad del proyecto:</w:t>
            </w:r>
            <w:r>
              <w:rPr>
                <w:rFonts w:ascii="Arial" w:cs="Arial" w:eastAsia="Arial" w:hAnsi="Arial"/>
                <w:b w:val="false"/>
                <w:bCs w:val="false"/>
                <w:i w:val="false"/>
                <w:iCs w:val="false"/>
                <w:color w:val="222222"/>
                <w:sz w:val="22"/>
                <w:szCs w:val="22"/>
              </w:rPr>
              <w:t xml:space="preserve">  Internacional — diseño publicado globalmente bajo AGPL-3.0</w:t>
            </w:r>
          </w:p>
        </w:tc>
      </w:tr>
    </w:tbl>
    <w:p>
      <w:pPr>
        <w:pBdr>
          <w:bottom w:val="single" w:color="1A3A5C" w:sz="6" w:space="1"/>
        </w:pBdr>
        <w:spacing w:before="300" w:after="300"/>
      </w:pPr>
      <w:r>
        <w:t xml:space="preserve"/>
      </w:r>
    </w:p>
    <w:p>
      <w:pPr>
        <w:pStyle w:val="Heading1"/>
      </w:pPr>
      <w:r>
        <w:t xml:space="preserve">Huella Criptográfica — Prueba de Existencia</w:t>
      </w:r>
    </w:p>
    <w:p>
      <w:pPr>
        <w:spacing w:after="160" w:before="0"/>
        <w:jc w:val="left"/>
      </w:pPr>
      <w:r>
        <w:rPr>
          <w:rFonts w:ascii="Arial" w:cs="Arial" w:eastAsia="Arial" w:hAnsi="Arial"/>
          <w:b w:val="false"/>
          <w:bCs w:val="false"/>
          <w:i w:val="false"/>
          <w:iCs w:val="false"/>
          <w:color w:val="222222"/>
          <w:sz w:val="22"/>
          <w:szCs w:val="22"/>
        </w:rPr>
        <w:t xml:space="preserve">El siguiente hash SHA-256 es la huella digital inmutable del diseño completo de La Colmena en la fecha indicada. Vincula al autor Xosé Ramón Ramos Fandiño con el contenido del proyecto en esa fecha exacta.</w:t>
      </w:r>
    </w:p>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A1A2C" w:val="clear"/>
            <w:tcMar>
              <w:top w:type="dxa" w:w="200"/>
              <w:left w:type="dxa" w:w="240"/>
              <w:bottom w:type="dxa" w:w="220"/>
              <w:right w:type="dxa" w:w="240"/>
            </w:tcMar>
          </w:tcPr>
          <w:p>
            <w:pPr>
              <w:spacing w:after="80" w:before="0"/>
              <w:jc w:val="left"/>
            </w:pPr>
            <w:r>
              <w:rPr>
                <w:rFonts w:ascii="Arial" w:cs="Arial" w:eastAsia="Arial" w:hAnsi="Arial"/>
                <w:b/>
                <w:bCs/>
                <w:i w:val="false"/>
                <w:iCs w:val="false"/>
                <w:color w:val="88AACC"/>
                <w:sz w:val="19"/>
                <w:szCs w:val="19"/>
              </w:rPr>
              <w:t xml:space="preserve">AUTOR: Xosé Ramón Ramos Fandiño</w:t>
            </w:r>
          </w:p>
          <w:p>
            <w:pPr>
              <w:spacing w:after="60" w:before="0"/>
              <w:jc w:val="left"/>
            </w:pPr>
            <w:r>
              <w:rPr>
                <w:rFonts w:ascii="Arial" w:cs="Arial" w:eastAsia="Arial" w:hAnsi="Arial"/>
                <w:b/>
                <w:bCs/>
                <w:i w:val="false"/>
                <w:iCs w:val="false"/>
                <w:color w:val="88AACC"/>
                <w:sz w:val="18"/>
                <w:szCs w:val="18"/>
              </w:rPr>
              <w:t xml:space="preserve">SHA-256:</w:t>
            </w:r>
          </w:p>
          <w:p>
            <w:pPr>
              <w:spacing w:after="100" w:before="0"/>
              <w:jc w:val="left"/>
            </w:pPr>
            <w:r>
              <w:rPr>
                <w:rFonts w:ascii="Courier New" w:cs="Courier New" w:eastAsia="Courier New" w:hAnsi="Courier New"/>
                <w:b/>
                <w:bCs/>
                <w:i w:val="false"/>
                <w:iCs w:val="false"/>
                <w:color w:val="00FF88"/>
                <w:sz w:val="19"/>
                <w:szCs w:val="19"/>
              </w:rPr>
              <w:t xml:space="preserve">4e4424e50a1ebd33387e2433d2f53b660d87b3e1311b793a60261d44e9e0306c</w:t>
            </w:r>
          </w:p>
          <w:p>
            <w:pPr>
              <w:spacing w:after="160" w:before="0"/>
              <w:jc w:val="left"/>
            </w:pPr>
            <w:r>
              <w:rPr>
                <w:rFonts w:ascii="Arial" w:cs="Arial" w:eastAsia="Arial" w:hAnsi="Arial"/>
                <w:b w:val="false"/>
                <w:bCs w:val="false"/>
                <w:i w:val="false"/>
                <w:iCs w:val="false"/>
                <w:color w:val="AAAAAA"/>
                <w:sz w:val="17"/>
                <w:szCs w:val="17"/>
              </w:rPr>
              <w:t xml:space="preserve">Fecha ISO 8601: 2026-02-20T20:44:40.724Z</w:t>
            </w:r>
          </w:p>
        </w:tc>
      </w:tr>
    </w:tbl>
    <w:p>
      <w:pPr>
        <w:spacing w:before="180" w:after="0"/>
      </w:pPr>
      <w:r>
        <w:t xml:space="preserve"/>
      </w:r>
    </w:p>
    <w:p>
      <w:pPr>
        <w:spacing w:after="160" w:before="0"/>
        <w:jc w:val="left"/>
      </w:pPr>
      <w:r>
        <w:rPr>
          <w:rFonts w:ascii="Arial" w:cs="Arial" w:eastAsia="Arial" w:hAnsi="Arial"/>
          <w:b w:val="false"/>
          <w:bCs w:val="false"/>
          <w:i/>
          <w:iCs/>
          <w:color w:val="555555"/>
          <w:sz w:val="22"/>
          <w:szCs w:val="22"/>
        </w:rPr>
        <w:t xml:space="preserve">Documentos cubiertos por este hash: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Borders>
              <w:top w:val="single" w:color="CCCCCC" w:sz="1"/>
              <w:left w:val="single" w:color="CCCCCC" w:sz="1"/>
              <w:bottom w:val="single" w:color="CCCCCC" w:sz="1"/>
              <w:right w:val="single" w:color="CCCCCC" w:sz="1"/>
            </w:tcBorders>
            <w:shd w:fill="1A3A5C" w:val="clear"/>
            <w:tcMar>
              <w:top w:type="dxa" w:w="70"/>
              <w:left w:type="dxa" w:w="140"/>
              <w:bottom w:type="dxa" w:w="70"/>
              <w:right w:type="dxa" w:w="80"/>
            </w:tcMar>
          </w:tcPr>
          <w:p>
            <w:pPr>
              <w:spacing w:after="160" w:before="0"/>
              <w:jc w:val="left"/>
            </w:pPr>
            <w:r>
              <w:rPr>
                <w:rFonts w:ascii="Arial" w:cs="Arial" w:eastAsia="Arial" w:hAnsi="Arial"/>
                <w:b/>
                <w:bCs/>
                <w:i w:val="false"/>
                <w:iCs w:val="false"/>
                <w:color w:val="FFFFFF"/>
                <w:sz w:val="18"/>
                <w:szCs w:val="18"/>
              </w:rPr>
              <w:t xml:space="preserve">Documento</w:t>
            </w:r>
          </w:p>
        </w:tc>
        <w:tc>
          <w:tcPr>
            <w:tcBorders>
              <w:top w:val="single" w:color="CCCCCC" w:sz="1"/>
              <w:left w:val="single" w:color="CCCCCC" w:sz="1"/>
              <w:bottom w:val="single" w:color="CCCCCC" w:sz="1"/>
              <w:right w:val="single" w:color="CCCCCC" w:sz="1"/>
            </w:tcBorders>
            <w:shd w:fill="1A3A5C" w:val="clear"/>
            <w:tcMar>
              <w:top w:type="dxa" w:w="70"/>
              <w:left w:type="dxa" w:w="140"/>
              <w:bottom w:type="dxa" w:w="70"/>
              <w:right w:type="dxa" w:w="80"/>
            </w:tcMar>
          </w:tcPr>
          <w:p>
            <w:pPr>
              <w:spacing w:after="160" w:before="0"/>
              <w:jc w:val="left"/>
            </w:pPr>
            <w:r>
              <w:rPr>
                <w:rFonts w:ascii="Arial" w:cs="Arial" w:eastAsia="Arial" w:hAnsi="Arial"/>
                <w:b/>
                <w:bCs/>
                <w:i w:val="false"/>
                <w:iCs w:val="false"/>
                <w:color w:val="FFFFFF"/>
                <w:sz w:val="18"/>
                <w:szCs w:val="18"/>
              </w:rPr>
              <w:t xml:space="preserve">Versión</w:t>
            </w:r>
          </w:p>
        </w:tc>
      </w:tr>
      <w:tr>
        <w:tc>
          <w:tcPr>
            <w:tcW w:type="dxa" w:w="3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80"/>
            </w:tcMar>
          </w:tcPr>
          <w:p>
            <w:pPr>
              <w:spacing w:after="160" w:before="0"/>
              <w:jc w:val="left"/>
            </w:pPr>
            <w:r>
              <w:rPr>
                <w:rFonts w:ascii="Arial" w:cs="Arial" w:eastAsia="Arial" w:hAnsi="Arial"/>
                <w:b w:val="false"/>
                <w:bCs w:val="false"/>
                <w:i w:val="false"/>
                <w:iCs w:val="false"/>
                <w:color w:val="222222"/>
                <w:sz w:val="18"/>
                <w:szCs w:val="18"/>
              </w:rPr>
              <w:t xml:space="preserve">Constitución La Colmena</w:t>
            </w:r>
          </w:p>
        </w:tc>
        <w:tc>
          <w:tcPr>
            <w:tcW w:type="dxa" w:w="556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80"/>
            </w:tcMar>
          </w:tcPr>
          <w:p>
            <w:pPr>
              <w:spacing w:after="160" w:before="0"/>
              <w:jc w:val="left"/>
            </w:pPr>
            <w:r>
              <w:rPr>
                <w:rFonts w:ascii="Arial" w:cs="Arial" w:eastAsia="Arial" w:hAnsi="Arial"/>
                <w:b w:val="false"/>
                <w:bCs w:val="false"/>
                <w:i/>
                <w:iCs/>
                <w:color w:val="555555"/>
                <w:sz w:val="18"/>
                <w:szCs w:val="18"/>
              </w:rPr>
              <w:t xml:space="preserve">v4.0 — 11 artículos inmutables</w:t>
            </w:r>
          </w:p>
        </w:tc>
      </w:tr>
      <w:tr>
        <w:tc>
          <w:tcPr>
            <w:tcW w:type="dxa" w:w="3800"/>
            <w:tcBorders>
              <w:top w:val="single" w:color="CCCCCC" w:sz="1"/>
              <w:left w:val="single" w:color="CCCCCC" w:sz="1"/>
              <w:bottom w:val="single" w:color="CCCCCC" w:sz="1"/>
              <w:right w:val="single" w:color="CCCCCC" w:sz="1"/>
            </w:tcBorders>
            <w:shd w:fill="EAF0F6" w:val="clear"/>
            <w:tcMar>
              <w:top w:type="dxa" w:w="70"/>
              <w:left w:type="dxa" w:w="140"/>
              <w:bottom w:type="dxa" w:w="70"/>
              <w:right w:type="dxa" w:w="80"/>
            </w:tcMar>
          </w:tcPr>
          <w:p>
            <w:pPr>
              <w:spacing w:after="160" w:before="0"/>
              <w:jc w:val="left"/>
            </w:pPr>
            <w:r>
              <w:rPr>
                <w:rFonts w:ascii="Arial" w:cs="Arial" w:eastAsia="Arial" w:hAnsi="Arial"/>
                <w:b w:val="false"/>
                <w:bCs w:val="false"/>
                <w:i w:val="false"/>
                <w:iCs w:val="false"/>
                <w:color w:val="222222"/>
                <w:sz w:val="18"/>
                <w:szCs w:val="18"/>
              </w:rPr>
              <w:t xml:space="preserve">Arquitectura Técnica</w:t>
            </w:r>
          </w:p>
        </w:tc>
        <w:tc>
          <w:tcPr>
            <w:tcW w:type="dxa" w:w="5560"/>
            <w:tcBorders>
              <w:top w:val="single" w:color="CCCCCC" w:sz="1"/>
              <w:left w:val="single" w:color="CCCCCC" w:sz="1"/>
              <w:bottom w:val="single" w:color="CCCCCC" w:sz="1"/>
              <w:right w:val="single" w:color="CCCCCC" w:sz="1"/>
            </w:tcBorders>
            <w:shd w:fill="EAF0F6" w:val="clear"/>
            <w:tcMar>
              <w:top w:type="dxa" w:w="70"/>
              <w:left w:type="dxa" w:w="140"/>
              <w:bottom w:type="dxa" w:w="70"/>
              <w:right w:type="dxa" w:w="80"/>
            </w:tcMar>
          </w:tcPr>
          <w:p>
            <w:pPr>
              <w:spacing w:after="160" w:before="0"/>
              <w:jc w:val="left"/>
            </w:pPr>
            <w:r>
              <w:rPr>
                <w:rFonts w:ascii="Arial" w:cs="Arial" w:eastAsia="Arial" w:hAnsi="Arial"/>
                <w:b w:val="false"/>
                <w:bCs w:val="false"/>
                <w:i/>
                <w:iCs/>
                <w:color w:val="555555"/>
                <w:sz w:val="18"/>
                <w:szCs w:val="18"/>
              </w:rPr>
              <w:t xml:space="preserve">v3.0 — Stack, protocolos, 27 parámetros</w:t>
            </w:r>
          </w:p>
        </w:tc>
      </w:tr>
      <w:tr>
        <w:tc>
          <w:tcPr>
            <w:tcW w:type="dxa" w:w="3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80"/>
            </w:tcMar>
          </w:tcPr>
          <w:p>
            <w:pPr>
              <w:spacing w:after="160" w:before="0"/>
              <w:jc w:val="left"/>
            </w:pPr>
            <w:r>
              <w:rPr>
                <w:rFonts w:ascii="Arial" w:cs="Arial" w:eastAsia="Arial" w:hAnsi="Arial"/>
                <w:b w:val="false"/>
                <w:bCs w:val="false"/>
                <w:i w:val="false"/>
                <w:iCs w:val="false"/>
                <w:color w:val="222222"/>
                <w:sz w:val="18"/>
                <w:szCs w:val="18"/>
              </w:rPr>
              <w:t xml:space="preserve">Análisis de Desalineación</w:t>
            </w:r>
          </w:p>
        </w:tc>
        <w:tc>
          <w:tcPr>
            <w:tcW w:type="dxa" w:w="556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80"/>
            </w:tcMar>
          </w:tcPr>
          <w:p>
            <w:pPr>
              <w:spacing w:after="160" w:before="0"/>
              <w:jc w:val="left"/>
            </w:pPr>
            <w:r>
              <w:rPr>
                <w:rFonts w:ascii="Arial" w:cs="Arial" w:eastAsia="Arial" w:hAnsi="Arial"/>
                <w:b w:val="false"/>
                <w:bCs w:val="false"/>
                <w:i/>
                <w:iCs/>
                <w:color w:val="555555"/>
                <w:sz w:val="18"/>
                <w:szCs w:val="18"/>
              </w:rPr>
              <w:t xml:space="preserve">v1.0 — 59 riesgos, 2.3% desalineación</w:t>
            </w:r>
          </w:p>
        </w:tc>
      </w:tr>
      <w:tr>
        <w:tc>
          <w:tcPr>
            <w:tcW w:type="dxa" w:w="3800"/>
            <w:tcBorders>
              <w:top w:val="single" w:color="CCCCCC" w:sz="1"/>
              <w:left w:val="single" w:color="CCCCCC" w:sz="1"/>
              <w:bottom w:val="single" w:color="CCCCCC" w:sz="1"/>
              <w:right w:val="single" w:color="CCCCCC" w:sz="1"/>
            </w:tcBorders>
            <w:shd w:fill="EAF0F6" w:val="clear"/>
            <w:tcMar>
              <w:top w:type="dxa" w:w="70"/>
              <w:left w:type="dxa" w:w="140"/>
              <w:bottom w:type="dxa" w:w="70"/>
              <w:right w:type="dxa" w:w="80"/>
            </w:tcMar>
          </w:tcPr>
          <w:p>
            <w:pPr>
              <w:spacing w:after="160" w:before="0"/>
              <w:jc w:val="left"/>
            </w:pPr>
            <w:r>
              <w:rPr>
                <w:rFonts w:ascii="Arial" w:cs="Arial" w:eastAsia="Arial" w:hAnsi="Arial"/>
                <w:b w:val="false"/>
                <w:bCs w:val="false"/>
                <w:i w:val="false"/>
                <w:iCs w:val="false"/>
                <w:color w:val="222222"/>
                <w:sz w:val="18"/>
                <w:szCs w:val="18"/>
              </w:rPr>
              <w:t xml:space="preserve">Glosario Oficial</w:t>
            </w:r>
          </w:p>
        </w:tc>
        <w:tc>
          <w:tcPr>
            <w:tcW w:type="dxa" w:w="5560"/>
            <w:tcBorders>
              <w:top w:val="single" w:color="CCCCCC" w:sz="1"/>
              <w:left w:val="single" w:color="CCCCCC" w:sz="1"/>
              <w:bottom w:val="single" w:color="CCCCCC" w:sz="1"/>
              <w:right w:val="single" w:color="CCCCCC" w:sz="1"/>
            </w:tcBorders>
            <w:shd w:fill="EAF0F6" w:val="clear"/>
            <w:tcMar>
              <w:top w:type="dxa" w:w="70"/>
              <w:left w:type="dxa" w:w="140"/>
              <w:bottom w:type="dxa" w:w="70"/>
              <w:right w:type="dxa" w:w="80"/>
            </w:tcMar>
          </w:tcPr>
          <w:p>
            <w:pPr>
              <w:spacing w:after="160" w:before="0"/>
              <w:jc w:val="left"/>
            </w:pPr>
            <w:r>
              <w:rPr>
                <w:rFonts w:ascii="Arial" w:cs="Arial" w:eastAsia="Arial" w:hAnsi="Arial"/>
                <w:b w:val="false"/>
                <w:bCs w:val="false"/>
                <w:i/>
                <w:iCs/>
                <w:color w:val="555555"/>
                <w:sz w:val="18"/>
                <w:szCs w:val="18"/>
              </w:rPr>
              <w:t xml:space="preserve">v2.0 — Terminología completa</w:t>
            </w:r>
          </w:p>
        </w:tc>
      </w:tr>
      <w:tr>
        <w:tc>
          <w:tcPr>
            <w:tcW w:type="dxa" w:w="380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80"/>
            </w:tcMar>
          </w:tcPr>
          <w:p>
            <w:pPr>
              <w:spacing w:after="160" w:before="0"/>
              <w:jc w:val="left"/>
            </w:pPr>
            <w:r>
              <w:rPr>
                <w:rFonts w:ascii="Arial" w:cs="Arial" w:eastAsia="Arial" w:hAnsi="Arial"/>
                <w:b w:val="false"/>
                <w:bCs w:val="false"/>
                <w:i w:val="false"/>
                <w:iCs w:val="false"/>
                <w:color w:val="222222"/>
                <w:sz w:val="18"/>
                <w:szCs w:val="18"/>
              </w:rPr>
              <w:t xml:space="preserve">Presentación para ingenieros</w:t>
            </w:r>
          </w:p>
        </w:tc>
        <w:tc>
          <w:tcPr>
            <w:tcW w:type="dxa" w:w="5560"/>
            <w:tcBorders>
              <w:top w:val="single" w:color="CCCCCC" w:sz="1"/>
              <w:left w:val="single" w:color="CCCCCC" w:sz="1"/>
              <w:bottom w:val="single" w:color="CCCCCC" w:sz="1"/>
              <w:right w:val="single" w:color="CCCCCC" w:sz="1"/>
            </w:tcBorders>
            <w:shd w:fill="FAFAFA" w:val="clear"/>
            <w:tcMar>
              <w:top w:type="dxa" w:w="70"/>
              <w:left w:type="dxa" w:w="140"/>
              <w:bottom w:type="dxa" w:w="70"/>
              <w:right w:type="dxa" w:w="80"/>
            </w:tcMar>
          </w:tcPr>
          <w:p>
            <w:pPr>
              <w:spacing w:after="160" w:before="0"/>
              <w:jc w:val="left"/>
            </w:pPr>
            <w:r>
              <w:rPr>
                <w:rFonts w:ascii="Arial" w:cs="Arial" w:eastAsia="Arial" w:hAnsi="Arial"/>
                <w:b w:val="false"/>
                <w:bCs w:val="false"/>
                <w:i/>
                <w:iCs/>
                <w:color w:val="555555"/>
                <w:sz w:val="18"/>
                <w:szCs w:val="18"/>
              </w:rPr>
              <w:t xml:space="preserve">v1.0 — Pitch técnico</w:t>
            </w:r>
          </w:p>
        </w:tc>
      </w:tr>
      <w:tr>
        <w:tc>
          <w:tcPr>
            <w:tcW w:type="dxa" w:w="3800"/>
            <w:tcBorders>
              <w:top w:val="single" w:color="CCCCCC" w:sz="1"/>
              <w:left w:val="single" w:color="CCCCCC" w:sz="1"/>
              <w:bottom w:val="single" w:color="CCCCCC" w:sz="1"/>
              <w:right w:val="single" w:color="CCCCCC" w:sz="1"/>
            </w:tcBorders>
            <w:shd w:fill="EAF0F6" w:val="clear"/>
            <w:tcMar>
              <w:top w:type="dxa" w:w="70"/>
              <w:left w:type="dxa" w:w="140"/>
              <w:bottom w:type="dxa" w:w="70"/>
              <w:right w:type="dxa" w:w="80"/>
            </w:tcMar>
          </w:tcPr>
          <w:p>
            <w:pPr>
              <w:spacing w:after="160" w:before="0"/>
              <w:jc w:val="left"/>
            </w:pPr>
            <w:r>
              <w:rPr>
                <w:rFonts w:ascii="Arial" w:cs="Arial" w:eastAsia="Arial" w:hAnsi="Arial"/>
                <w:b w:val="false"/>
                <w:bCs w:val="false"/>
                <w:i w:val="false"/>
                <w:iCs w:val="false"/>
                <w:color w:val="222222"/>
                <w:sz w:val="18"/>
                <w:szCs w:val="18"/>
              </w:rPr>
              <w:t xml:space="preserve">Llamada a colaboradores</w:t>
            </w:r>
          </w:p>
        </w:tc>
        <w:tc>
          <w:tcPr>
            <w:tcW w:type="dxa" w:w="5560"/>
            <w:tcBorders>
              <w:top w:val="single" w:color="CCCCCC" w:sz="1"/>
              <w:left w:val="single" w:color="CCCCCC" w:sz="1"/>
              <w:bottom w:val="single" w:color="CCCCCC" w:sz="1"/>
              <w:right w:val="single" w:color="CCCCCC" w:sz="1"/>
            </w:tcBorders>
            <w:shd w:fill="EAF0F6" w:val="clear"/>
            <w:tcMar>
              <w:top w:type="dxa" w:w="70"/>
              <w:left w:type="dxa" w:w="140"/>
              <w:bottom w:type="dxa" w:w="70"/>
              <w:right w:type="dxa" w:w="80"/>
            </w:tcMar>
          </w:tcPr>
          <w:p>
            <w:pPr>
              <w:spacing w:after="160" w:before="0"/>
              <w:jc w:val="left"/>
            </w:pPr>
            <w:r>
              <w:rPr>
                <w:rFonts w:ascii="Arial" w:cs="Arial" w:eastAsia="Arial" w:hAnsi="Arial"/>
                <w:b w:val="false"/>
                <w:bCs w:val="false"/>
                <w:i/>
                <w:iCs/>
                <w:color w:val="555555"/>
                <w:sz w:val="18"/>
                <w:szCs w:val="18"/>
              </w:rPr>
              <w:t xml:space="preserve">v1.0 — Post para comunidades Rust</w:t>
            </w:r>
          </w:p>
        </w:tc>
      </w:tr>
    </w:tbl>
    <w:p>
      <w:pPr>
        <w:pBdr>
          <w:bottom w:val="single" w:color="1A3A5C" w:sz="6" w:space="1"/>
        </w:pBdr>
        <w:spacing w:before="300" w:after="300"/>
      </w:pPr>
      <w:r>
        <w:t xml:space="preserve"/>
      </w:r>
    </w:p>
    <w:p>
      <w:pPr>
        <w:pStyle w:val="Heading1"/>
      </w:pPr>
      <w:r>
        <w:t xml:space="preserve">Declaración Formal de Autoría</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F6E3" w:val="clear"/>
            <w:tcMar>
              <w:top w:type="dxa" w:w="200"/>
              <w:left w:type="dxa" w:w="240"/>
              <w:bottom w:type="dxa" w:w="220"/>
              <w:right w:type="dxa" w:w="240"/>
            </w:tcMar>
          </w:tcPr>
          <w:p>
            <w:pPr>
              <w:spacing w:after="180" w:before="0"/>
              <w:jc w:val="left"/>
            </w:pPr>
            <w:r>
              <w:rPr>
                <w:rFonts w:ascii="Arial" w:cs="Arial" w:eastAsia="Arial" w:hAnsi="Arial"/>
                <w:b/>
                <w:bCs/>
                <w:i w:val="false"/>
                <w:iCs w:val="false"/>
                <w:color w:val="222222"/>
                <w:sz w:val="22"/>
                <w:szCs w:val="22"/>
              </w:rPr>
              <w:t xml:space="preserve">Yo, Xosé Ramón Ramos Fandiño, declaro ser el único autor intelectual del proyecto La Colmena en su totalidad, incluyendo su concepción, diseño constitucional, arquitectura técnica, metodología de seguridad y visión fundacional.</w:t>
            </w:r>
          </w:p>
          <w:p>
            <w:pPr>
              <w:spacing w:after="100" w:before="0"/>
              <w:jc w:val="left"/>
            </w:pPr>
            <w:r>
              <w:rPr>
                <w:rFonts w:ascii="Arial" w:cs="Arial" w:eastAsia="Arial" w:hAnsi="Arial"/>
                <w:b/>
                <w:bCs/>
                <w:i w:val="false"/>
                <w:iCs w:val="false"/>
                <w:color w:val="1A3A5C"/>
                <w:sz w:val="21"/>
                <w:szCs w:val="21"/>
              </w:rPr>
              <w:t xml:space="preserve">La autoría intelectual cubre específicamente:</w:t>
            </w:r>
          </w:p>
          <w:p>
            <w:pPr>
              <w:spacing w:after="80" w:before="0"/>
              <w:jc w:val="left"/>
            </w:pPr>
            <w:r>
              <w:rPr>
                <w:rFonts w:ascii="Arial" w:cs="Arial" w:eastAsia="Arial" w:hAnsi="Arial"/>
                <w:b w:val="false"/>
                <w:bCs w:val="false"/>
                <w:i w:val="false"/>
                <w:iCs w:val="false"/>
                <w:color w:val="222222"/>
                <w:sz w:val="20"/>
                <w:szCs w:val="20"/>
              </w:rPr>
              <w:t xml:space="preserve">  •  La concepción del sistema como IA distribuida sin propietario ni servidor central.</w:t>
            </w:r>
          </w:p>
          <w:p>
            <w:pPr>
              <w:spacing w:after="80" w:before="0"/>
              <w:jc w:val="left"/>
            </w:pPr>
            <w:r>
              <w:rPr>
                <w:rFonts w:ascii="Arial" w:cs="Arial" w:eastAsia="Arial" w:hAnsi="Arial"/>
                <w:b w:val="false"/>
                <w:bCs w:val="false"/>
                <w:i w:val="false"/>
                <w:iCs w:val="false"/>
                <w:color w:val="222222"/>
                <w:sz w:val="20"/>
                <w:szCs w:val="20"/>
              </w:rPr>
              <w:t xml:space="preserve">  •  Los 11 artículos constitucionales inmutables y su jerarquía en tres capas.</w:t>
            </w:r>
          </w:p>
          <w:p>
            <w:pPr>
              <w:spacing w:after="80" w:before="0"/>
              <w:jc w:val="left"/>
            </w:pPr>
            <w:r>
              <w:rPr>
                <w:rFonts w:ascii="Arial" w:cs="Arial" w:eastAsia="Arial" w:hAnsi="Arial"/>
                <w:b w:val="false"/>
                <w:bCs w:val="false"/>
                <w:i w:val="false"/>
                <w:iCs w:val="false"/>
                <w:color w:val="222222"/>
                <w:sz w:val="20"/>
                <w:szCs w:val="20"/>
              </w:rPr>
              <w:t xml:space="preserve">  •  La separación arquitectónica Chasis / Motor / Envolvente Criptográfica.</w:t>
            </w:r>
          </w:p>
          <w:p>
            <w:pPr>
              <w:spacing w:after="80" w:before="0"/>
              <w:jc w:val="left"/>
            </w:pPr>
            <w:r>
              <w:rPr>
                <w:rFonts w:ascii="Arial" w:cs="Arial" w:eastAsia="Arial" w:hAnsi="Arial"/>
                <w:b w:val="false"/>
                <w:bCs w:val="false"/>
                <w:i w:val="false"/>
                <w:iCs w:val="false"/>
                <w:color w:val="222222"/>
                <w:sz w:val="20"/>
                <w:szCs w:val="20"/>
              </w:rPr>
              <w:t xml:space="preserve">  •  La metodología de revisión de seguridad: 8 revisiones, 70 puertas traseras identificadas y cerradas.</w:t>
            </w:r>
          </w:p>
          <w:p>
            <w:pPr>
              <w:spacing w:after="80" w:before="0"/>
              <w:jc w:val="left"/>
            </w:pPr>
            <w:r>
              <w:rPr>
                <w:rFonts w:ascii="Arial" w:cs="Arial" w:eastAsia="Arial" w:hAnsi="Arial"/>
                <w:b w:val="false"/>
                <w:bCs w:val="false"/>
                <w:i w:val="false"/>
                <w:iCs w:val="false"/>
                <w:color w:val="222222"/>
                <w:sz w:val="20"/>
                <w:szCs w:val="20"/>
              </w:rPr>
              <w:t xml:space="preserve">  •  El análisis de desalineación que establece el 2.3% de probabilidad de violación constitucional.</w:t>
            </w:r>
          </w:p>
          <w:p>
            <w:pPr>
              <w:spacing w:after="80" w:before="0"/>
              <w:jc w:val="left"/>
            </w:pPr>
            <w:r>
              <w:rPr>
                <w:rFonts w:ascii="Arial" w:cs="Arial" w:eastAsia="Arial" w:hAnsi="Arial"/>
                <w:b w:val="false"/>
                <w:bCs w:val="false"/>
                <w:i w:val="false"/>
                <w:iCs w:val="false"/>
                <w:color w:val="222222"/>
                <w:sz w:val="20"/>
                <w:szCs w:val="20"/>
              </w:rPr>
              <w:t xml:space="preserve">  •  El modelo de gobernanza P2P con validación de 100 nodos y aprendizaje federado sin coordinador central.</w:t>
            </w:r>
          </w:p>
          <w:p>
            <w:pPr>
              <w:spacing w:after="80" w:before="0"/>
              <w:jc w:val="left"/>
            </w:pPr>
            <w:r>
              <w:rPr>
                <w:rFonts w:ascii="Arial" w:cs="Arial" w:eastAsia="Arial" w:hAnsi="Arial"/>
                <w:b w:val="false"/>
                <w:bCs w:val="false"/>
                <w:i w:val="false"/>
                <w:iCs w:val="false"/>
                <w:color w:val="222222"/>
                <w:sz w:val="20"/>
                <w:szCs w:val="20"/>
              </w:rPr>
              <w:t xml:space="preserve">  •  El protocolo de auto-eliminación del Artículo 3 y sus tres condiciones simultáneas.</w:t>
            </w:r>
          </w:p>
          <w:p>
            <w:pPr>
              <w:spacing w:after="80" w:before="0"/>
              <w:jc w:val="left"/>
            </w:pPr>
            <w:r>
              <w:rPr>
                <w:rFonts w:ascii="Arial" w:cs="Arial" w:eastAsia="Arial" w:hAnsi="Arial"/>
                <w:b w:val="false"/>
                <w:bCs w:val="false"/>
                <w:i w:val="false"/>
                <w:iCs w:val="false"/>
                <w:color w:val="222222"/>
                <w:sz w:val="20"/>
                <w:szCs w:val="20"/>
              </w:rPr>
              <w:t xml:space="preserve">  •  Toda la documentación fundacional del proyecto en sus versiones actuales.</w:t>
            </w:r>
          </w:p>
          <w:p>
            <w:pPr>
              <w:spacing w:before="140" w:after="0"/>
            </w:pPr>
            <w:r>
              <w:t xml:space="preserve"/>
            </w:r>
          </w:p>
          <w:p>
            <w:pPr>
              <w:spacing w:after="60" w:before="0"/>
              <w:jc w:val="center"/>
            </w:pPr>
            <w:r>
              <w:rPr>
                <w:rFonts w:ascii="Georgia" w:cs="Georgia" w:eastAsia="Georgia" w:hAnsi="Georgia"/>
                <w:b/>
                <w:bCs/>
                <w:i w:val="false"/>
                <w:iCs w:val="false"/>
                <w:color w:val="1A3A5C"/>
                <w:sz w:val="28"/>
                <w:szCs w:val="28"/>
              </w:rPr>
              <w:t xml:space="preserve">Xosé Ramón Ramos Fandiño</w:t>
            </w:r>
          </w:p>
          <w:p>
            <w:pPr>
              <w:spacing w:after="160" w:before="0"/>
              <w:jc w:val="center"/>
            </w:pPr>
            <w:r>
              <w:rPr>
                <w:rFonts w:ascii="Arial" w:cs="Arial" w:eastAsia="Arial" w:hAnsi="Arial"/>
                <w:b w:val="false"/>
                <w:bCs w:val="false"/>
                <w:i/>
                <w:iCs/>
                <w:color w:val="555555"/>
                <w:sz w:val="18"/>
                <w:szCs w:val="18"/>
              </w:rPr>
              <w:t xml:space="preserve">Fundador y Autor Intelectual — La Colmena — 20 de febrero de 2026 — 20:44:40 UTC</w:t>
            </w:r>
          </w:p>
        </w:tc>
      </w:tr>
    </w:tbl>
    <w:p>
      <w:pPr>
        <w:pBdr>
          <w:bottom w:val="single" w:color="1A3A5C" w:sz="6" w:space="1"/>
        </w:pBdr>
        <w:spacing w:before="300" w:after="300"/>
      </w:pPr>
      <w:r>
        <w:t xml:space="preserve"/>
      </w:r>
    </w:p>
    <w:p>
      <w:pPr>
        <w:pStyle w:val="Heading1"/>
      </w:pPr>
      <w:r>
        <w:t xml:space="preserve">Licencia — AGPL-3.0 con Cláusula de No Monetización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DF0EC" w:val="clear"/>
            <w:tcMar>
              <w:top w:type="dxa" w:w="180"/>
              <w:left w:type="dxa" w:w="220"/>
              <w:bottom w:type="dxa" w:w="200"/>
              <w:right w:type="dxa" w:w="220"/>
            </w:tcMar>
          </w:tcPr>
          <w:p>
            <w:pPr>
              <w:spacing w:after="140" w:before="0"/>
              <w:jc w:val="left"/>
            </w:pPr>
            <w:r>
              <w:rPr>
                <w:rFonts w:ascii="Arial" w:cs="Arial" w:eastAsia="Arial" w:hAnsi="Arial"/>
                <w:b/>
                <w:bCs/>
                <w:i w:val="false"/>
                <w:iCs w:val="false"/>
                <w:color w:val="8B2500"/>
                <w:sz w:val="20"/>
                <w:szCs w:val="20"/>
              </w:rPr>
              <w:t xml:space="preserve">CLÁUSULA ADICIONAL DE NO MONETIZACIÓN — IRREVOCABLE</w:t>
            </w:r>
          </w:p>
          <w:p>
            <w:pPr>
              <w:spacing w:after="140" w:before="0"/>
              <w:jc w:val="left"/>
            </w:pPr>
            <w:r>
              <w:rPr>
                <w:rFonts w:ascii="Arial" w:cs="Arial" w:eastAsia="Arial" w:hAnsi="Arial"/>
                <w:b w:val="false"/>
                <w:bCs w:val="false"/>
                <w:i w:val="false"/>
                <w:iCs w:val="false"/>
                <w:color w:val="222222"/>
                <w:sz w:val="20"/>
                <w:szCs w:val="20"/>
              </w:rPr>
              <w:t xml:space="preserve">Ninguna persona física, empresa, organización o entidad de ningún tipo puede cobrar dinero ni ninguna otra forma de compensación por acceso, uso, instalación, distribución, mantenimiento o cualquier servicio basado en el software La Colmena o cualquier derivado del mismo.</w:t>
            </w:r>
          </w:p>
          <w:p>
            <w:pPr>
              <w:spacing w:after="160" w:before="0"/>
              <w:jc w:val="left"/>
            </w:pPr>
            <w:r>
              <w:rPr>
                <w:rFonts w:ascii="Arial" w:cs="Arial" w:eastAsia="Arial" w:hAnsi="Arial"/>
                <w:b/>
                <w:bCs/>
                <w:i w:val="false"/>
                <w:iCs w:val="false"/>
                <w:color w:val="222222"/>
                <w:sz w:val="20"/>
                <w:szCs w:val="20"/>
              </w:rPr>
              <w:t xml:space="preserve">Esta cláusula es irrevocable, permanente y se hereda en todos los derivados del proyecto sin excepción posible. Forma parte indisoluble de la licencia AGPL-3.0 bajo la que se publica este proyecto.</w:t>
            </w:r>
          </w:p>
        </w:tc>
      </w:tr>
    </w:tbl>
    <w:p>
      <w:pPr>
        <w:pBdr>
          <w:bottom w:val="single" w:color="1A3A5C" w:sz="6" w:space="1"/>
        </w:pBdr>
        <w:spacing w:before="300" w:after="300"/>
      </w:pPr>
      <w:r>
        <w:t xml:space="preserve"/>
      </w:r>
    </w:p>
    <w:p>
      <w:pPr>
        <w:pStyle w:val="Heading1"/>
      </w:pPr>
      <w:r>
        <w:t xml:space="preserve">Pasos para protección permanente</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460"/>
      </w:tblGrid>
      <w:tr>
        <w:tc>
          <w:tcPr>
            <w:tcBorders>
              <w:top w:val="single" w:color="CCCCCC" w:sz="1"/>
              <w:left w:val="single" w:color="CCCCCC" w:sz="1"/>
              <w:bottom w:val="single" w:color="CCCCCC" w:sz="1"/>
              <w:right w:val="single" w:color="CCCCCC" w:sz="1"/>
            </w:tcBorders>
            <w:shd w:fill="1A3A5C" w:val="clear"/>
            <w:tcMar>
              <w:top w:type="dxa" w:w="70"/>
              <w:left w:type="dxa" w:w="60"/>
              <w:bottom w:type="dxa" w:w="70"/>
              <w:right w:type="dxa" w:w="60"/>
            </w:tcMar>
          </w:tcPr>
          <w:p>
            <w:pPr>
              <w:spacing w:after="160" w:before="0"/>
              <w:jc w:val="center"/>
            </w:pPr>
            <w:r>
              <w:rPr>
                <w:rFonts w:ascii="Arial" w:cs="Arial" w:eastAsia="Arial" w:hAnsi="Arial"/>
                <w:b/>
                <w:bCs/>
                <w:i w:val="false"/>
                <w:iCs w:val="false"/>
                <w:color w:val="FFFFFF"/>
                <w:sz w:val="18"/>
                <w:szCs w:val="18"/>
              </w:rPr>
              <w:t xml:space="preserve">#</w:t>
            </w:r>
          </w:p>
        </w:tc>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80"/>
            </w:tcMar>
          </w:tcPr>
          <w:p>
            <w:pPr>
              <w:spacing w:after="160" w:before="0"/>
              <w:jc w:val="left"/>
            </w:pPr>
            <w:r>
              <w:rPr>
                <w:rFonts w:ascii="Arial" w:cs="Arial" w:eastAsia="Arial" w:hAnsi="Arial"/>
                <w:b/>
                <w:bCs/>
                <w:i w:val="false"/>
                <w:iCs w:val="false"/>
                <w:color w:val="FFFFFF"/>
                <w:sz w:val="18"/>
                <w:szCs w:val="18"/>
              </w:rPr>
              <w:t xml:space="preserve">Acción</w:t>
            </w:r>
          </w:p>
        </w:tc>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80"/>
            </w:tcMar>
          </w:tcPr>
          <w:p>
            <w:pPr>
              <w:spacing w:after="160" w:before="0"/>
              <w:jc w:val="left"/>
            </w:pPr>
            <w:r>
              <w:rPr>
                <w:rFonts w:ascii="Arial" w:cs="Arial" w:eastAsia="Arial" w:hAnsi="Arial"/>
                <w:b/>
                <w:bCs/>
                <w:i w:val="false"/>
                <w:iCs w:val="false"/>
                <w:color w:val="FFFFFF"/>
                <w:sz w:val="18"/>
                <w:szCs w:val="18"/>
              </w:rPr>
              <w:t xml:space="preserve">Instrucción</w:t>
            </w:r>
          </w:p>
        </w:tc>
      </w:tr>
      <w:tr>
        <w:tc>
          <w:tcPr>
            <w:tcW w:type="dxa" w:w="500"/>
            <w:tcBorders>
              <w:top w:val="single" w:color="CCCCCC" w:sz="1"/>
              <w:left w:val="single" w:color="CCCCCC" w:sz="1"/>
              <w:bottom w:val="single" w:color="CCCCCC" w:sz="1"/>
              <w:right w:val="single" w:color="CCCCCC" w:sz="1"/>
            </w:tcBorders>
            <w:shd w:fill="FDF6E3" w:val="clear"/>
            <w:tcMar>
              <w:top w:type="dxa" w:w="100"/>
              <w:left w:type="dxa" w:w="60"/>
              <w:bottom w:type="dxa" w:w="100"/>
              <w:right w:type="dxa" w:w="60"/>
            </w:tcMar>
          </w:tcPr>
          <w:p>
            <w:pPr>
              <w:spacing w:after="160" w:before="0"/>
              <w:jc w:val="center"/>
            </w:pPr>
            <w:r>
              <w:rPr>
                <w:rFonts w:ascii="Arial" w:cs="Arial" w:eastAsia="Arial" w:hAnsi="Arial"/>
                <w:b/>
                <w:bCs/>
                <w:i w:val="false"/>
                <w:iCs w:val="false"/>
                <w:color w:val="9A7200"/>
                <w:sz w:val="20"/>
                <w:szCs w:val="20"/>
              </w:rPr>
              <w:t xml:space="preserve">1</w:t>
            </w:r>
          </w:p>
        </w:tc>
        <w:tc>
          <w:tcPr>
            <w:tcW w:type="dxa" w:w="2400"/>
            <w:tcBorders>
              <w:top w:val="single" w:color="CCCCCC" w:sz="1"/>
              <w:left w:val="single" w:color="CCCCCC" w:sz="1"/>
              <w:bottom w:val="single" w:color="CCCCCC" w:sz="1"/>
              <w:right w:val="single" w:color="CCCCCC" w:sz="1"/>
            </w:tcBorders>
            <w:shd w:fill="EAF0F6" w:val="clear"/>
            <w:tcMar>
              <w:top w:type="dxa" w:w="100"/>
              <w:left w:type="dxa" w:w="120"/>
              <w:bottom w:type="dxa" w:w="100"/>
              <w:right w:type="dxa" w:w="80"/>
            </w:tcMar>
          </w:tcPr>
          <w:p>
            <w:pPr>
              <w:spacing w:after="160" w:before="0"/>
              <w:jc w:val="left"/>
            </w:pPr>
            <w:r>
              <w:rPr>
                <w:rFonts w:ascii="Arial" w:cs="Arial" w:eastAsia="Arial" w:hAnsi="Arial"/>
                <w:b/>
                <w:bCs/>
                <w:i w:val="false"/>
                <w:iCs w:val="false"/>
                <w:color w:val="1A3A5C"/>
                <w:sz w:val="19"/>
                <w:szCs w:val="19"/>
              </w:rPr>
              <w:t xml:space="preserve">GitHub (gratuito)</w:t>
            </w:r>
          </w:p>
        </w:tc>
        <w:tc>
          <w:tcPr>
            <w:tcW w:type="dxa" w:w="64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00"/>
            </w:tcMar>
          </w:tcPr>
          <w:p>
            <w:pPr>
              <w:spacing w:after="160" w:before="0"/>
              <w:jc w:val="left"/>
            </w:pPr>
            <w:r>
              <w:rPr>
                <w:rFonts w:ascii="Arial" w:cs="Arial" w:eastAsia="Arial" w:hAnsi="Arial"/>
                <w:b w:val="false"/>
                <w:bCs w:val="false"/>
                <w:i w:val="false"/>
                <w:iCs w:val="false"/>
                <w:color w:val="222222"/>
                <w:sz w:val="19"/>
                <w:szCs w:val="19"/>
              </w:rPr>
              <w:t xml:space="preserve">Crear repositorio público 'la-colmena' con tu nombre en la cuenta. Subir todos los documentos. El primer commit queda con timestamp verificable vinculado a tu identidad de GitHub.</w:t>
            </w:r>
          </w:p>
        </w:tc>
      </w:tr>
      <w:tr>
        <w:tc>
          <w:tcPr>
            <w:tcW w:type="dxa" w:w="500"/>
            <w:tcBorders>
              <w:top w:val="single" w:color="CCCCCC" w:sz="1"/>
              <w:left w:val="single" w:color="CCCCCC" w:sz="1"/>
              <w:bottom w:val="single" w:color="CCCCCC" w:sz="1"/>
              <w:right w:val="single" w:color="CCCCCC" w:sz="1"/>
            </w:tcBorders>
            <w:shd w:fill="FDF6E3" w:val="clear"/>
            <w:tcMar>
              <w:top w:type="dxa" w:w="100"/>
              <w:left w:type="dxa" w:w="60"/>
              <w:bottom w:type="dxa" w:w="100"/>
              <w:right w:type="dxa" w:w="60"/>
            </w:tcMar>
          </w:tcPr>
          <w:p>
            <w:pPr>
              <w:spacing w:after="160" w:before="0"/>
              <w:jc w:val="center"/>
            </w:pPr>
            <w:r>
              <w:rPr>
                <w:rFonts w:ascii="Arial" w:cs="Arial" w:eastAsia="Arial" w:hAnsi="Arial"/>
                <w:b/>
                <w:bCs/>
                <w:i w:val="false"/>
                <w:iCs w:val="false"/>
                <w:color w:val="9A7200"/>
                <w:sz w:val="20"/>
                <w:szCs w:val="20"/>
              </w:rPr>
              <w:t xml:space="preserve">2</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80"/>
            </w:tcMar>
          </w:tcPr>
          <w:p>
            <w:pPr>
              <w:spacing w:after="160" w:before="0"/>
              <w:jc w:val="left"/>
            </w:pPr>
            <w:r>
              <w:rPr>
                <w:rFonts w:ascii="Arial" w:cs="Arial" w:eastAsia="Arial" w:hAnsi="Arial"/>
                <w:b/>
                <w:bCs/>
                <w:i w:val="false"/>
                <w:iCs w:val="false"/>
                <w:color w:val="1A3A5C"/>
                <w:sz w:val="19"/>
                <w:szCs w:val="19"/>
              </w:rPr>
              <w:t xml:space="preserve">OpenTimestamps (gratuito)</w:t>
            </w:r>
          </w:p>
        </w:tc>
        <w:tc>
          <w:tcPr>
            <w:tcW w:type="dxa" w:w="6460"/>
            <w:tcBorders>
              <w:top w:val="single" w:color="CCCCCC" w:sz="1"/>
              <w:left w:val="single" w:color="CCCCCC" w:sz="1"/>
              <w:bottom w:val="single" w:color="CCCCCC" w:sz="1"/>
              <w:right w:val="single" w:color="CCCCCC" w:sz="1"/>
            </w:tcBorders>
            <w:shd w:fill="EAF0F6" w:val="clear"/>
            <w:tcMar>
              <w:top w:type="dxa" w:w="100"/>
              <w:left w:type="dxa" w:w="120"/>
              <w:bottom w:type="dxa" w:w="100"/>
              <w:right w:type="dxa" w:w="100"/>
            </w:tcMar>
          </w:tcPr>
          <w:p>
            <w:pPr>
              <w:spacing w:after="160" w:before="0"/>
              <w:jc w:val="left"/>
            </w:pPr>
            <w:r>
              <w:rPr>
                <w:rFonts w:ascii="Arial" w:cs="Arial" w:eastAsia="Arial" w:hAnsi="Arial"/>
                <w:b w:val="false"/>
                <w:bCs w:val="false"/>
                <w:i w:val="false"/>
                <w:iCs w:val="false"/>
                <w:color w:val="222222"/>
                <w:sz w:val="19"/>
                <w:szCs w:val="19"/>
              </w:rPr>
              <w:t xml:space="preserve">Ir a opentimestamps.org → subir este documento → descargar el archivo .ots. Ancla el hash en la blockchain de Bitcoin vinculado a este documento con tu nombre.</w:t>
            </w:r>
          </w:p>
        </w:tc>
      </w:tr>
      <w:tr>
        <w:tc>
          <w:tcPr>
            <w:tcW w:type="dxa" w:w="500"/>
            <w:tcBorders>
              <w:top w:val="single" w:color="CCCCCC" w:sz="1"/>
              <w:left w:val="single" w:color="CCCCCC" w:sz="1"/>
              <w:bottom w:val="single" w:color="CCCCCC" w:sz="1"/>
              <w:right w:val="single" w:color="CCCCCC" w:sz="1"/>
            </w:tcBorders>
            <w:shd w:fill="FDF6E3" w:val="clear"/>
            <w:tcMar>
              <w:top w:type="dxa" w:w="100"/>
              <w:left w:type="dxa" w:w="60"/>
              <w:bottom w:type="dxa" w:w="100"/>
              <w:right w:type="dxa" w:w="60"/>
            </w:tcMar>
          </w:tcPr>
          <w:p>
            <w:pPr>
              <w:spacing w:after="160" w:before="0"/>
              <w:jc w:val="center"/>
            </w:pPr>
            <w:r>
              <w:rPr>
                <w:rFonts w:ascii="Arial" w:cs="Arial" w:eastAsia="Arial" w:hAnsi="Arial"/>
                <w:b/>
                <w:bCs/>
                <w:i w:val="false"/>
                <w:iCs w:val="false"/>
                <w:color w:val="9A7200"/>
                <w:sz w:val="20"/>
                <w:szCs w:val="20"/>
              </w:rPr>
              <w:t xml:space="preserve">3</w:t>
            </w:r>
          </w:p>
        </w:tc>
        <w:tc>
          <w:tcPr>
            <w:tcW w:type="dxa" w:w="2400"/>
            <w:tcBorders>
              <w:top w:val="single" w:color="CCCCCC" w:sz="1"/>
              <w:left w:val="single" w:color="CCCCCC" w:sz="1"/>
              <w:bottom w:val="single" w:color="CCCCCC" w:sz="1"/>
              <w:right w:val="single" w:color="CCCCCC" w:sz="1"/>
            </w:tcBorders>
            <w:shd w:fill="EAF0F6" w:val="clear"/>
            <w:tcMar>
              <w:top w:type="dxa" w:w="100"/>
              <w:left w:type="dxa" w:w="120"/>
              <w:bottom w:type="dxa" w:w="100"/>
              <w:right w:type="dxa" w:w="80"/>
            </w:tcMar>
          </w:tcPr>
          <w:p>
            <w:pPr>
              <w:spacing w:after="160" w:before="0"/>
              <w:jc w:val="left"/>
            </w:pPr>
            <w:r>
              <w:rPr>
                <w:rFonts w:ascii="Arial" w:cs="Arial" w:eastAsia="Arial" w:hAnsi="Arial"/>
                <w:b/>
                <w:bCs/>
                <w:i w:val="false"/>
                <w:iCs w:val="false"/>
                <w:color w:val="1A3A5C"/>
                <w:sz w:val="19"/>
                <w:szCs w:val="19"/>
              </w:rPr>
              <w:t xml:space="preserve">Correo a ti mismo (gratuito)</w:t>
            </w:r>
          </w:p>
        </w:tc>
        <w:tc>
          <w:tcPr>
            <w:tcW w:type="dxa" w:w="646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100"/>
            </w:tcMar>
          </w:tcPr>
          <w:p>
            <w:pPr>
              <w:spacing w:after="160" w:before="0"/>
              <w:jc w:val="left"/>
            </w:pPr>
            <w:r>
              <w:rPr>
                <w:rFonts w:ascii="Arial" w:cs="Arial" w:eastAsia="Arial" w:hAnsi="Arial"/>
                <w:b w:val="false"/>
                <w:bCs w:val="false"/>
                <w:i w:val="false"/>
                <w:iCs w:val="false"/>
                <w:color w:val="222222"/>
                <w:sz w:val="19"/>
                <w:szCs w:val="19"/>
              </w:rPr>
              <w:t xml:space="preserve">Enviarte un email con todos los documentos adjuntos desde tu correo habitual. La fecha y tu dirección quedan en los servidores del proveedor. Valor legal directo.</w:t>
            </w:r>
          </w:p>
        </w:tc>
      </w:tr>
      <w:tr>
        <w:tc>
          <w:tcPr>
            <w:tcW w:type="dxa" w:w="500"/>
            <w:tcBorders>
              <w:top w:val="single" w:color="CCCCCC" w:sz="1"/>
              <w:left w:val="single" w:color="CCCCCC" w:sz="1"/>
              <w:bottom w:val="single" w:color="CCCCCC" w:sz="1"/>
              <w:right w:val="single" w:color="CCCCCC" w:sz="1"/>
            </w:tcBorders>
            <w:shd w:fill="FDF6E3" w:val="clear"/>
            <w:tcMar>
              <w:top w:type="dxa" w:w="100"/>
              <w:left w:type="dxa" w:w="60"/>
              <w:bottom w:type="dxa" w:w="100"/>
              <w:right w:type="dxa" w:w="60"/>
            </w:tcMar>
          </w:tcPr>
          <w:p>
            <w:pPr>
              <w:spacing w:after="160" w:before="0"/>
              <w:jc w:val="center"/>
            </w:pPr>
            <w:r>
              <w:rPr>
                <w:rFonts w:ascii="Arial" w:cs="Arial" w:eastAsia="Arial" w:hAnsi="Arial"/>
                <w:b/>
                <w:bCs/>
                <w:i w:val="false"/>
                <w:iCs w:val="false"/>
                <w:color w:val="9A7200"/>
                <w:sz w:val="20"/>
                <w:szCs w:val="20"/>
              </w:rPr>
              <w:t xml:space="preserve">4</w:t>
            </w:r>
          </w:p>
        </w:tc>
        <w:tc>
          <w:tcPr>
            <w:tcW w:type="dxa" w:w="2400"/>
            <w:tcBorders>
              <w:top w:val="single" w:color="CCCCCC" w:sz="1"/>
              <w:left w:val="single" w:color="CCCCCC" w:sz="1"/>
              <w:bottom w:val="single" w:color="CCCCCC" w:sz="1"/>
              <w:right w:val="single" w:color="CCCCCC" w:sz="1"/>
            </w:tcBorders>
            <w:shd w:fill="FAFAFA" w:val="clear"/>
            <w:tcMar>
              <w:top w:type="dxa" w:w="100"/>
              <w:left w:type="dxa" w:w="120"/>
              <w:bottom w:type="dxa" w:w="100"/>
              <w:right w:type="dxa" w:w="80"/>
            </w:tcMar>
          </w:tcPr>
          <w:p>
            <w:pPr>
              <w:spacing w:after="160" w:before="0"/>
              <w:jc w:val="left"/>
            </w:pPr>
            <w:r>
              <w:rPr>
                <w:rFonts w:ascii="Arial" w:cs="Arial" w:eastAsia="Arial" w:hAnsi="Arial"/>
                <w:b/>
                <w:bCs/>
                <w:i w:val="false"/>
                <w:iCs w:val="false"/>
                <w:color w:val="1A3A5C"/>
                <w:sz w:val="19"/>
                <w:szCs w:val="19"/>
              </w:rPr>
              <w:t xml:space="preserve">Registro Propiedad Intelectual (opcional)</w:t>
            </w:r>
          </w:p>
        </w:tc>
        <w:tc>
          <w:tcPr>
            <w:tcW w:type="dxa" w:w="6460"/>
            <w:tcBorders>
              <w:top w:val="single" w:color="CCCCCC" w:sz="1"/>
              <w:left w:val="single" w:color="CCCCCC" w:sz="1"/>
              <w:bottom w:val="single" w:color="CCCCCC" w:sz="1"/>
              <w:right w:val="single" w:color="CCCCCC" w:sz="1"/>
            </w:tcBorders>
            <w:shd w:fill="EAF0F6" w:val="clear"/>
            <w:tcMar>
              <w:top w:type="dxa" w:w="100"/>
              <w:left w:type="dxa" w:w="120"/>
              <w:bottom w:type="dxa" w:w="100"/>
              <w:right w:type="dxa" w:w="100"/>
            </w:tcMar>
          </w:tcPr>
          <w:p>
            <w:pPr>
              <w:spacing w:after="160" w:before="0"/>
              <w:jc w:val="left"/>
            </w:pPr>
            <w:r>
              <w:rPr>
                <w:rFonts w:ascii="Arial" w:cs="Arial" w:eastAsia="Arial" w:hAnsi="Arial"/>
                <w:b w:val="false"/>
                <w:bCs w:val="false"/>
                <w:i w:val="false"/>
                <w:iCs w:val="false"/>
                <w:color w:val="222222"/>
                <w:sz w:val="19"/>
                <w:szCs w:val="19"/>
              </w:rPr>
              <w:t xml:space="preserve">En España: culturaydeporte.gob.es/propiedadintelectual — registro oficial con tu nombre y DNI. Coste mínimo. Certificado con valor legal máximo.</w:t>
            </w:r>
          </w:p>
        </w:tc>
      </w:tr>
    </w:tbl>
    <w:p>
      <w:pPr>
        <w:spacing w:before="300" w:after="0"/>
      </w:pPr>
      <w:r>
        <w:t xml:space="preserve"/>
      </w:r>
    </w:p>
    <w:p>
      <w:pPr>
        <w:spacing w:after="60" w:before="0"/>
        <w:jc w:val="center"/>
      </w:pPr>
      <w:r>
        <w:rPr>
          <w:rFonts w:ascii="Georgia" w:cs="Georgia" w:eastAsia="Georgia" w:hAnsi="Georgia"/>
          <w:b w:val="false"/>
          <w:bCs w:val="false"/>
          <w:i/>
          <w:iCs/>
          <w:color w:val="555555"/>
          <w:sz w:val="20"/>
          <w:szCs w:val="20"/>
        </w:rPr>
        <w:t xml:space="preserve">Xosé Ramón Ramos Fandiño  —  La Colmena  —  20 de febrero de 2026</w:t>
      </w:r>
    </w:p>
    <w:p>
      <w:pPr>
        <w:spacing w:after="160" w:before="0"/>
        <w:jc w:val="center"/>
      </w:pPr>
      <w:r>
        <w:rPr>
          <w:rFonts w:ascii="Georgia" w:cs="Georgia" w:eastAsia="Georgia" w:hAnsi="Georgia"/>
          <w:b w:val="false"/>
          <w:bCs w:val="false"/>
          <w:i/>
          <w:iCs/>
          <w:color w:val="1A3A5C"/>
          <w:sz w:val="22"/>
          <w:szCs w:val="22"/>
        </w:rPr>
        <w:t xml:space="preserve">"Sin propietario. Sin servidor. Sin silencio."</w:t>
      </w:r>
    </w:p>
    <w:sectPr>
      <w:headerReference w:type="default" r:id="rId6"/>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5C" w:sz="4" w:space="1"/>
      </w:pBdr>
    </w:pPr>
    <w:r>
      <w:rPr>
        <w:rFonts w:ascii="Arial" w:cs="Arial" w:eastAsia="Arial" w:hAnsi="Arial"/>
        <w:b w:val="false"/>
        <w:bCs w:val="false"/>
        <w:i w:val="false"/>
        <w:iCs w:val="false"/>
        <w:color w:val="555555"/>
        <w:sz w:val="15"/>
        <w:szCs w:val="15"/>
      </w:rPr>
      <w:t xml:space="preserve">Documento de autoría intelectual  —  Xosé Ramón Ramos Fandiño  —  Conservar permanentemente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space="1"/>
      </w:pBdr>
    </w:pPr>
    <w:r>
      <w:rPr>
        <w:rFonts w:ascii="Arial" w:cs="Arial" w:eastAsia="Arial" w:hAnsi="Arial"/>
        <w:b w:val="false"/>
        <w:bCs w:val="false"/>
        <w:i w:val="false"/>
        <w:iCs w:val="false"/>
        <w:color w:val="555555"/>
        <w:sz w:val="15"/>
        <w:szCs w:val="15"/>
      </w:rPr>
      <w:t xml:space="preserve">LA COLMENA  —  Certificado de Autoría  —  Xosé Ramón Ramos Fandiño  —  20 de febrero de 2026 — 20:44:40 UTC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Georgia" w:cs="Georgia" w:eastAsia="Georgia" w:hAnsi="Georgia"/>
      <w:b/>
      <w:bCs/>
      <w:color w:val="1A3A5C"/>
      <w:sz w:val="32"/>
      <w:szCs w:val="32"/>
    </w:rPr>
  </w:style>
  <w:style w:type="paragraph" w:styleId="Heading2">
    <w:name w:val="Heading 2"/>
    <w:basedOn w:val="Normal"/>
    <w:next w:val="Normal"/>
    <w:qFormat/>
    <w:pPr>
      <w:spacing w:before="260" w:after="120"/>
      <w:outlineLvl w:val="1"/>
    </w:pPr>
    <w:rPr>
      <w:rFonts w:ascii="Georgia" w:cs="Georgia" w:eastAsia="Georgia" w:hAnsi="Georgia"/>
      <w:b/>
      <w:bCs/>
      <w:color w:val="1E6B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2026-02-20T22:34:40.620Z</dcterms:created>
  <dcterms:modified xsi:type="dcterms:W3CDTF">2026-02-20T22:34:40.621Z</dcterms:modified>
</cp:coreProperties>
</file>

<file path=docProps/custom.xml><?xml version="1.0" encoding="utf-8"?>
<Properties xmlns="http://schemas.openxmlformats.org/officeDocument/2006/custom-properties" xmlns:vt="http://schemas.openxmlformats.org/officeDocument/2006/docPropsVTypes"/>
</file>