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Guia operacional do Insight 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6EC"/>
            <w:vAlign w:val="center"/>
          </w:tcPr>
          <w:p>
            <w:r>
              <w:t>Document ID</w:t>
            </w:r>
          </w:p>
        </w:tc>
        <w:tc>
          <w:tcPr>
            <w:tcW w:type="dxa" w:w="4968"/>
            <w:vAlign w:val="center"/>
          </w:tcPr>
          <w:p>
            <w:r>
              <w:t>DOC-003</w:t>
            </w:r>
          </w:p>
        </w:tc>
      </w:tr>
      <w:tr>
        <w:tc>
          <w:tcPr>
            <w:tcW w:type="dxa" w:w="4968"/>
            <w:shd w:fill="DCE6EC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2.2</w:t>
            </w:r>
          </w:p>
        </w:tc>
      </w:tr>
      <w:tr>
        <w:tc>
          <w:tcPr>
            <w:tcW w:type="dxa" w:w="4968"/>
            <w:shd w:fill="DCE6EC"/>
            <w:vAlign w:val="center"/>
          </w:tcPr>
          <w:p>
            <w:r>
              <w:t>Date</w:t>
            </w:r>
          </w:p>
        </w:tc>
        <w:tc>
          <w:tcPr>
            <w:tcW w:type="dxa" w:w="4968"/>
            <w:vAlign w:val="center"/>
          </w:tcPr>
          <w:p>
            <w:r>
              <w:t>2026-05-30</w:t>
            </w:r>
          </w:p>
        </w:tc>
      </w:tr>
      <w:tr>
        <w:tc>
          <w:tcPr>
            <w:tcW w:type="dxa" w:w="4968"/>
            <w:shd w:fill="DCE6EC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current</w:t>
            </w:r>
          </w:p>
        </w:tc>
      </w:tr>
      <w:tr>
        <w:tc>
          <w:tcPr>
            <w:tcW w:type="dxa" w:w="4968"/>
            <w:shd w:fill="DCE6EC"/>
            <w:vAlign w:val="center"/>
          </w:tcPr>
          <w:p>
            <w:r>
              <w:t>Language</w:t>
            </w:r>
          </w:p>
        </w:tc>
        <w:tc>
          <w:tcPr>
            <w:tcW w:type="dxa" w:w="4968"/>
            <w:vAlign w:val="center"/>
          </w:tcPr>
          <w:p>
            <w:r>
              <w:t>pt-BR</w:t>
            </w:r>
          </w:p>
        </w:tc>
      </w:tr>
    </w:tbl>
    <w:p/>
    <w:p>
      <w:pPr>
        <w:pStyle w:val="Heading1"/>
      </w:pPr>
      <w:r>
        <w:t>O que o painel mede</w:t>
      </w:r>
    </w:p>
    <w:p>
      <w:r>
        <w:rPr>
          <w:i/>
          <w:color w:val="5A6974"/>
          <w:sz w:val="16"/>
        </w:rPr>
        <w:t>DOC-003#SEC-01</w:t>
      </w:r>
    </w:p>
    <w:p>
      <w:r>
        <w:t>O Insight Board consolida execuções, tarefas humanas e entregas de conectores. Volume processado conta execuções criadas no intervalo. Taxa de sucesso considera apenas execuções terminais e exclui WAITING_REVIEW. Tempo de ciclo mede do recebimento do evento até o estado terminal, incluindo espera humana.</w:t>
      </w:r>
    </w:p>
    <w:p>
      <w:r>
        <w:t>O indicador backlog aberto soma QUEUED, RUNNING e WAITING_REVIEW. Ele não representa apenas falhas e pode crescer durante campanhas programadas ou revisões manuais.</w:t>
      </w:r>
    </w:p>
    <w:p>
      <w:pPr>
        <w:pStyle w:val="Heading1"/>
      </w:pPr>
      <w:r>
        <w:t>Filtros e atualização</w:t>
      </w:r>
    </w:p>
    <w:p>
      <w:r>
        <w:rPr>
          <w:i/>
          <w:color w:val="5A6974"/>
          <w:sz w:val="16"/>
        </w:rPr>
        <w:t>DOC-003#SEC-02</w:t>
      </w:r>
    </w:p>
    <w:p>
      <w:r>
        <w:t>Os filtros disponíveis são workspace, ambiente, workflow_id, revisão, conector, estado e período. O painel usa UTC para armazenamento e mostra datas no fuso do workspace. Dados recentes entram normalmente em até cinco minutos. Exportações CSV podem atrasar até quinze minutos em períodos de recomputação.</w:t>
      </w:r>
    </w:p>
    <w:p>
      <w:r>
        <w:t>Filtrar apenas por nome do fluxo pode juntar revisões diferentes. Para comparar uma mudança, selecione o workflow_id e separe por revisão publicada.</w:t>
      </w:r>
    </w:p>
    <w:p>
      <w:pPr>
        <w:pStyle w:val="Heading1"/>
      </w:pPr>
      <w:r>
        <w:t>Interpretar degradação</w:t>
      </w:r>
    </w:p>
    <w:p>
      <w:r>
        <w:rPr>
          <w:i/>
          <w:color w:val="5A6974"/>
          <w:sz w:val="16"/>
        </w:rPr>
        <w:t>DOC-003#SEC-03</w:t>
      </w:r>
    </w:p>
    <w:p>
      <w:r>
        <w:t>Aumento de p95 sem aumento de falhas costuma indicar espera em serviço externo ou fila. Crescimento simultâneo de RL-4290 e tempo de execução aponta limitação de taxa do destino. Já PX-1047 elevado indica payload incompatível e deve ser tratado na origem ou no mapeamento.</w:t>
      </w:r>
    </w:p>
    <w:p>
      <w:r>
        <w:t>O painel não prova causalidade. Confirme o padrão no detalhe da execução e use o runbook de degradação quando dois ou mais indicadores persistirem por três janelas de cinco minutos.</w:t>
      </w:r>
    </w:p>
    <w:p>
      <w:pPr>
        <w:pStyle w:val="Heading1"/>
      </w:pPr>
      <w:r>
        <w:t>Permissões e retenção</w:t>
      </w:r>
    </w:p>
    <w:p>
      <w:r>
        <w:rPr>
          <w:i/>
          <w:color w:val="5A6974"/>
          <w:sz w:val="16"/>
        </w:rPr>
        <w:t>DOC-003#SEC-04</w:t>
      </w:r>
    </w:p>
    <w:p>
      <w:r>
        <w:t>Perfis Analyst e Operator podem visualizar métricas. Somente Operator, Workspace Admin e Security Admin veem payloads redigidos no detalhe. A retenção dos agregados é diferente da retenção de logs e anexos. Consulte a política de retenção para prazos e exceções.</w:t>
      </w:r>
    </w:p>
    <w:p>
      <w:pPr>
        <w:pStyle w:val="Heading1"/>
      </w:pPr>
      <w:r>
        <w:t>Público e pré-requisitos</w:t>
      </w:r>
    </w:p>
    <w:p>
      <w:r>
        <w:rPr>
          <w:i/>
          <w:color w:val="5A6974"/>
          <w:sz w:val="16"/>
        </w:rPr>
        <w:t>DOC-003#SEC-05</w:t>
      </w:r>
    </w:p>
    <w:p>
      <w:r>
        <w:t>Este documento é destinado a pessoas que operam ou administram a OrbeFlow e já conhecem workspace, ambiente e os identificadores básicos da plataforma. A leitura pressupõe acesso autorizado aos registros citados, nunca acesso ampliado apenas para investigação. O foco específico é comportamento funcional, objetos do produto e limites entre módulos. Antes de agir, confirme se o workspace é de produção ou sandbox, qual plano está ativo e qual revisão ou versão aparece na evidência. O mesmo nome visual pode existir em ambientes diferentes. Copiar uma ação de sandbox para produção sem nova validação não é permitido. Quando a atividade exigir um papel que o leitor não possui, preserve as evidências e encaminhe para o responsável, sem tentar contornar o Access Gate.</w:t>
      </w:r>
    </w:p>
    <w:p>
      <w:pPr>
        <w:pStyle w:val="Heading1"/>
      </w:pPr>
      <w:r>
        <w:t>Evidências mínimas</w:t>
      </w:r>
    </w:p>
    <w:p>
      <w:r>
        <w:rPr>
          <w:i/>
          <w:color w:val="5A6974"/>
          <w:sz w:val="16"/>
        </w:rPr>
        <w:t>DOC-003#SEC-06</w:t>
      </w:r>
    </w:p>
    <w:p>
      <w:r>
        <w:t>Registre horário em UTC, região, workspace, ambiente, identificadores relevantes e o resultado observado. Para execuções, combine event_id, RUN-, workflow_id e revisão; para tarefas, inclua TSK- e estado; para conexões, inclua CON- e fornecedor, sem segredos. Códigos como PX-1047 ou RL-4290 devem ser copiados exatamente. Uma captura isolada pode omitir detalhes, portanto prefira exportação redigida ou campos estruturados. A ausência de um identificador deve ser declarada, não preenchida por inferência. Evidências pessoais ou comerciais que não contribuam para o diagnóstico devem ser removidas. O registro final precisa permitir que outra pessoa repita a análise sem depender da memória de quem iniciou o caso.</w:t>
      </w:r>
    </w:p>
    <w:p>
      <w:pPr>
        <w:pStyle w:val="Heading1"/>
      </w:pPr>
      <w:r>
        <w:t>Exemplo operacional</w:t>
      </w:r>
    </w:p>
    <w:p>
      <w:r>
        <w:rPr>
          <w:i/>
          <w:color w:val="5A6974"/>
          <w:sz w:val="16"/>
        </w:rPr>
        <w:t>DOC-003#SEC-07</w:t>
      </w:r>
    </w:p>
    <w:p>
      <w:r>
        <w:t>Considere uma solicitação relacionada a “Guia operacional do Insight Board”. O operador primeiro delimita período e ambiente, depois localiza o objeto pelo identificador e compara o comportamento esperado com o observado. Se houver diferença, registra uma hipótese por vez e escolhe a verificação de menor risco. Uma resposta sem código pode ser semanticamente parecida com vários artigos; por isso, o contexto do objeto e o estado atual são decisivos. Se a evidência apontar para outro domínio, o caso deve migrar com o histórico preservado. Repetir a operação com novos identificadores antes de compreender idempotência pode criar ruído, duplicidade externa ou perda de rastreabilidade.</w:t>
      </w:r>
    </w:p>
    <w:p>
      <w:pPr>
        <w:pStyle w:val="Heading1"/>
      </w:pPr>
      <w:r>
        <w:t>Limites e exceções</w:t>
      </w:r>
    </w:p>
    <w:p>
      <w:r>
        <w:rPr>
          <w:i/>
          <w:color w:val="5A6974"/>
          <w:sz w:val="16"/>
        </w:rPr>
        <w:t>DOC-003#SEC-08</w:t>
      </w:r>
    </w:p>
    <w:p>
      <w:r>
        <w:t>Este documento não autoriza mudanças de plano, redução de controles, exclusão de registros ou acesso a conteúdo não redigido. Valores comerciais e limites operacionais devem ser confirmados no catálogo vigente, mesmo quando uma nota histórica apresenta números. Uma exceção precisa de justificativa, prazo, responsável e aprovação compatível com o risco. Situações ligadas a autenticação, retenção ou residência de dados exigem participação de Security Admin. Durante incidente, a aprovação emergencial pode acelerar a mitigação, mas não elimina revisão posterior. Se duas fontes atuais parecerem incompatíveis, interrompa a ação e registre a divergência para correção documental.</w:t>
      </w:r>
    </w:p>
    <w:p>
      <w:pPr>
        <w:pStyle w:val="Heading1"/>
      </w:pPr>
      <w:r>
        <w:t>Validação e documentos relacionados</w:t>
      </w:r>
    </w:p>
    <w:p>
      <w:r>
        <w:rPr>
          <w:i/>
          <w:color w:val="5A6974"/>
          <w:sz w:val="16"/>
        </w:rPr>
        <w:t>DOC-003#SEC-09</w:t>
      </w:r>
    </w:p>
    <w:p>
      <w:r>
        <w:t>Conclua verificando se o resultado esperado realmente ocorreu e se não houve efeito colateral em outro módulo. Para mudanças, compare uma janela anterior e uma posterior; para suporte, reproduza apenas quando isso for seguro; para políticas, confirme versão e data efetiva. Os documentos relacionados mais úteis são DOC-001, DOC-013, DOC-019. A relação indica contexto, não precedência automática. Em conflito, uma política vigente supera um guia operacional, o catálogo vigente supera release notes históricas e a evidência do objeto supera suposições baseadas em nome. Registre o identificador da seção utilizada, pois futuras avaliações devem distinguir uma recuperação correta de um trecho apenas semanticamente próximo.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Nuvexa Sistemas | OrbeFlow | DOC-003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