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Diagnóstico de conectores empresariales</w:t>
      </w:r>
    </w:p>
    <w:tbl>
      <w:tblPr>
        <w:tblStyle w:val="TableGrid"/>
        <w:tblW w:type="auto" w:w="0"/>
        <w:jc w:val="left"/>
        <w:tblLook w:firstColumn="1" w:firstRow="1" w:lastColumn="0" w:lastRow="0" w:noHBand="0" w:noVBand="1" w:val="04A0"/>
      </w:tblPr>
      <w:tblGrid>
        <w:gridCol w:w="4968"/>
        <w:gridCol w:w="4968"/>
      </w:tblGrid>
      <w:tr>
        <w:tc>
          <w:tcPr>
            <w:tcW w:type="dxa" w:w="4968"/>
            <w:shd w:fill="DCE6EC"/>
            <w:vAlign w:val="center"/>
          </w:tcPr>
          <w:p>
            <w:r>
              <w:t>Document ID</w:t>
            </w:r>
          </w:p>
        </w:tc>
        <w:tc>
          <w:tcPr>
            <w:tcW w:type="dxa" w:w="4968"/>
            <w:vAlign w:val="center"/>
          </w:tcPr>
          <w:p>
            <w:r>
              <w:t>DOC-007</w:t>
            </w:r>
          </w:p>
        </w:tc>
      </w:tr>
      <w:tr>
        <w:tc>
          <w:tcPr>
            <w:tcW w:type="dxa" w:w="4968"/>
            <w:shd w:fill="DCE6EC"/>
            <w:vAlign w:val="center"/>
          </w:tcPr>
          <w:p>
            <w:r>
              <w:t>Version</w:t>
            </w:r>
          </w:p>
        </w:tc>
        <w:tc>
          <w:tcPr>
            <w:tcW w:type="dxa" w:w="4968"/>
            <w:vAlign w:val="center"/>
          </w:tcPr>
          <w:p>
            <w:r>
              <w:t>1.8</w:t>
            </w:r>
          </w:p>
        </w:tc>
      </w:tr>
      <w:tr>
        <w:tc>
          <w:tcPr>
            <w:tcW w:type="dxa" w:w="4968"/>
            <w:shd w:fill="DCE6EC"/>
            <w:vAlign w:val="center"/>
          </w:tcPr>
          <w:p>
            <w:r>
              <w:t>Date</w:t>
            </w:r>
          </w:p>
        </w:tc>
        <w:tc>
          <w:tcPr>
            <w:tcW w:type="dxa" w:w="4968"/>
            <w:vAlign w:val="center"/>
          </w:tcPr>
          <w:p>
            <w:r>
              <w:t>2026-06-28</w:t>
            </w:r>
          </w:p>
        </w:tc>
      </w:tr>
      <w:tr>
        <w:tc>
          <w:tcPr>
            <w:tcW w:type="dxa" w:w="4968"/>
            <w:shd w:fill="DCE6EC"/>
            <w:vAlign w:val="center"/>
          </w:tcPr>
          <w:p>
            <w:r>
              <w:t>Status</w:t>
            </w:r>
          </w:p>
        </w:tc>
        <w:tc>
          <w:tcPr>
            <w:tcW w:type="dxa" w:w="4968"/>
            <w:vAlign w:val="center"/>
          </w:tcPr>
          <w:p>
            <w:r>
              <w:t>current</w:t>
            </w:r>
          </w:p>
        </w:tc>
      </w:tr>
      <w:tr>
        <w:tc>
          <w:tcPr>
            <w:tcW w:type="dxa" w:w="4968"/>
            <w:shd w:fill="DCE6EC"/>
            <w:vAlign w:val="center"/>
          </w:tcPr>
          <w:p>
            <w:r>
              <w:t>Language</w:t>
            </w:r>
          </w:p>
        </w:tc>
        <w:tc>
          <w:tcPr>
            <w:tcW w:type="dxa" w:w="4968"/>
            <w:vAlign w:val="center"/>
          </w:tcPr>
          <w:p>
            <w:r>
              <w:t>es</w:t>
            </w:r>
          </w:p>
        </w:tc>
      </w:tr>
    </w:tbl>
    <w:p/>
    <w:p>
      <w:pPr>
        <w:pStyle w:val="Heading1"/>
      </w:pPr>
      <w:r>
        <w:t>Clasificar el problema</w:t>
      </w:r>
    </w:p>
    <w:p>
      <w:r>
        <w:rPr>
          <w:i/>
          <w:color w:val="5A6974"/>
          <w:sz w:val="16"/>
        </w:rPr>
        <w:t>DOC-007#SEC-01</w:t>
      </w:r>
    </w:p>
    <w:p>
      <w:r>
        <w:t>Una conexión puede fallar durante autenticación, negociación de red, validación del esquema o entrega. Use el identificador CON- y una ejecución RUN- para separar un problema de credenciales de un error del flujo. El mensaje «destino no disponible» no significa necesariamente que OrbeFlow esté fuera de servicio.</w:t>
      </w:r>
    </w:p>
    <w:p>
      <w:pPr>
        <w:pStyle w:val="Heading1"/>
      </w:pPr>
      <w:r>
        <w:t>Credenciales y permisos</w:t>
      </w:r>
    </w:p>
    <w:p>
      <w:r>
        <w:rPr>
          <w:i/>
          <w:color w:val="5A6974"/>
          <w:sz w:val="16"/>
        </w:rPr>
        <w:t>DOC-007#SEC-02</w:t>
      </w:r>
    </w:p>
    <w:p>
      <w:r>
        <w:t>CR-3005 indica que el proveedor rechazó la credencial. Verifique expiración, audiencia y permisos en el sistema externo. Rotar un secreto crea una nueva versión de la credencial; las ejecuciones nuevas la usan de inmediato, mientras un intento ya iniciado puede terminar con la versión anterior.</w:t>
      </w:r>
    </w:p>
    <w:p>
      <w:r>
        <w:t>AU-4038 pertenece a la API de OrbeFlow. CR-3005 pertenece al proveedor conectado. Aunque ambos pueden verse como acceso denegado, requieren responsables distintos.</w:t>
      </w:r>
    </w:p>
    <w:p>
      <w:pPr>
        <w:pStyle w:val="Heading1"/>
      </w:pPr>
      <w:r>
        <w:t>Red y certificados</w:t>
      </w:r>
    </w:p>
    <w:p>
      <w:r>
        <w:rPr>
          <w:i/>
          <w:color w:val="5A6974"/>
          <w:sz w:val="16"/>
        </w:rPr>
        <w:t>DOC-007#SEC-03</w:t>
      </w:r>
    </w:p>
    <w:p>
      <w:r>
        <w:t>NW-3108 señala tiempo de espera al abrir la conexión. Confirme DNS, lista de IP permitidas y puerto. TLS-3122 señala un certificado no confiable, vencido o con nombre incompatible. No desactive la validación TLS como solución permanente.</w:t>
      </w:r>
    </w:p>
    <w:p>
      <w:pPr>
        <w:pStyle w:val="Heading1"/>
      </w:pPr>
      <w:r>
        <w:t>Mapeo y reintento</w:t>
      </w:r>
    </w:p>
    <w:p>
      <w:r>
        <w:rPr>
          <w:i/>
          <w:color w:val="5A6974"/>
          <w:sz w:val="16"/>
        </w:rPr>
        <w:t>DOC-007#SEC-04</w:t>
      </w:r>
    </w:p>
    <w:p>
      <w:r>
        <w:t>PX-1047 puede aparecer en un paso conector cuando el mapeo produce un cuerpo inválido antes de enviarlo. Corrija la revisión del flujo. Para RL-4290, respete Retry-After. Para CR-3005 y TLS-3122, pause reintentos automáticos hasta corregir la causa para evitar ruido y bloqueo del proveedor.</w:t>
      </w:r>
    </w:p>
    <w:p>
      <w:pPr>
        <w:pStyle w:val="Heading1"/>
      </w:pPr>
      <w:r>
        <w:t>Público y requisitos previos</w:t>
      </w:r>
    </w:p>
    <w:p>
      <w:r>
        <w:rPr>
          <w:i/>
          <w:color w:val="5A6974"/>
          <w:sz w:val="16"/>
        </w:rPr>
        <w:t>DOC-007#SEC-05</w:t>
      </w:r>
    </w:p>
    <w:p>
      <w:r>
        <w:t>Este documento está dirigido a quienes operan o administran OrbeFlow y ya conocen workspaces, ambientes e identificadores de la plataforma. La investigación no concede permisos adicionales. El foco específico es diagnóstico reproducible, evidencia mínima y escalamiento seguro. Antes de actuar, confirme producción o sandbox, plan activo, región y versión indicada por la evidencia. Un mismo nombre visible puede existir en ambientes distintos. Una acción probada en sandbox necesita nueva validación antes de producción. Si falta el rol requerido, conserve la evidencia y derive el caso al responsable sin eludir controles de Access Gate.</w:t>
      </w:r>
    </w:p>
    <w:p>
      <w:pPr>
        <w:pStyle w:val="Heading1"/>
      </w:pPr>
      <w:r>
        <w:t>Evidencia mínima</w:t>
      </w:r>
    </w:p>
    <w:p>
      <w:r>
        <w:rPr>
          <w:i/>
          <w:color w:val="5A6974"/>
          <w:sz w:val="16"/>
        </w:rPr>
        <w:t>DOC-007#SEC-06</w:t>
      </w:r>
    </w:p>
    <w:p>
      <w:r>
        <w:t>Registre hora UTC, región, workspace, ambiente, identificadores y resultado observado. Para ejecuciones combine event_id, RUN-, workflow_id y revisión; para tareas incluya TSK- y estado; para conexiones incluya CON- y proveedor, nunca secretos. Copie exactamente códigos como PX-1047 o RL-4290. Una captura puede omitir campos, por eso se prefiere una exportación redactada o una respuesta estructurada. Declare la ausencia de un identificador en lugar de inventarlo. El registro final debe permitir que otra persona repita el análisis sin depender de la memoria del primer operador.</w:t>
      </w:r>
    </w:p>
    <w:p>
      <w:pPr>
        <w:pStyle w:val="Heading1"/>
      </w:pPr>
      <w:r>
        <w:t>Ejemplo operativo</w:t>
      </w:r>
    </w:p>
    <w:p>
      <w:r>
        <w:rPr>
          <w:i/>
          <w:color w:val="5A6974"/>
          <w:sz w:val="16"/>
        </w:rPr>
        <w:t>DOC-007#SEC-07</w:t>
      </w:r>
    </w:p>
    <w:p>
      <w:r>
        <w:t>Considere una solicitud sobre «Diagnóstico de conectores empresariales». El operador delimita período y ambiente, localiza el objeto por identificador estable y compara conducta esperada con conducta observada. Si hay diferencia, registra una hipótesis y selecciona la comprobación de menor riesgo. Una descripción sin código exacto puede parecerse a varios artículos; el tipo de objeto y el estado actual deciden. Si la evidencia pertenece a otro dominio, transfiera el caso con su cronología. Repetir una operación con un identificador nuevo antes de entender la idempotencia puede crear duplicados externos o dificultar la conciliación.</w:t>
      </w:r>
    </w:p>
    <w:p>
      <w:pPr>
        <w:pStyle w:val="Heading1"/>
      </w:pPr>
      <w:r>
        <w:t>Límites y excepciones</w:t>
      </w:r>
    </w:p>
    <w:p>
      <w:r>
        <w:rPr>
          <w:i/>
          <w:color w:val="5A6974"/>
          <w:sz w:val="16"/>
        </w:rPr>
        <w:t>DOC-007#SEC-08</w:t>
      </w:r>
    </w:p>
    <w:p>
      <w:r>
        <w:t>Este documento no autoriza cambios de plan, reducción de controles, eliminación de registros ni acceso a contenido no redactado. Confirme valores comerciales y límites en el catálogo vigente aunque una nota histórica muestre cifras. Una excepción necesita motivo, vencimiento, responsable y aprobación acorde al riesgo. Autenticación, retención y residencia requieren participación de Security Admin. La aprobación de emergencia acelera una mitigación, pero exige revisión posterior. Si dos fuentes vigentes parecen incompatibles, detenga la acción y registre una corrección documental.</w:t>
      </w:r>
    </w:p>
    <w:p>
      <w:pPr>
        <w:pStyle w:val="Heading1"/>
      </w:pPr>
      <w:r>
        <w:t>Validación y documentos relacionados</w:t>
      </w:r>
    </w:p>
    <w:p>
      <w:r>
        <w:rPr>
          <w:i/>
          <w:color w:val="5A6974"/>
          <w:sz w:val="16"/>
        </w:rPr>
        <w:t>DOC-007#SEC-09</w:t>
      </w:r>
    </w:p>
    <w:p>
      <w:r>
        <w:t>Finalice comprobando que ocurrió el resultado esperado y que otro módulo no sufrió efectos. Para cambios compare una ventana anterior y posterior; para soporte reproduzca solo cuando sea seguro; para políticas confirme fecha y versión. Los documentos relacionados más útiles son DOC-002, DOC-012, DOC-020. La relación aporta contexto, no precedencia automática. Una política vigente supera una guía operativa, el catálogo actual supera notas históricas y la evidencia del objeto supera una suposición por nombre. Registre el identificador de sección usado para distinguir la respuesta correcta de un fragmento solo semánticamente próximo.</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Nuvexa Sistemas | OrbeFlow | DOC-007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