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Procedimento de recuperação de MFA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EC"/>
            <w:vAlign w:val="center"/>
          </w:tcPr>
          <w:p>
            <w: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DOC-010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3.2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2026-07-12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current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Language</w:t>
            </w:r>
          </w:p>
        </w:tc>
        <w:tc>
          <w:tcPr>
            <w:tcW w:type="dxa" w:w="4968"/>
            <w:vAlign w:val="center"/>
          </w:tcPr>
          <w:p>
            <w:r>
              <w:t>pt-BR</w:t>
            </w:r>
          </w:p>
        </w:tc>
      </w:tr>
    </w:tbl>
    <w:p/>
    <w:p>
      <w:pPr>
        <w:pStyle w:val="Heading1"/>
      </w:pPr>
      <w:r>
        <w:t>Quando usar</w:t>
      </w:r>
    </w:p>
    <w:p>
      <w:r>
        <w:rPr>
          <w:i/>
          <w:color w:val="5A6974"/>
          <w:sz w:val="16"/>
        </w:rPr>
        <w:t>DOC-010#SEC-01</w:t>
      </w:r>
    </w:p>
    <w:p>
      <w:r>
        <w:t>Use este procedimento quando a pessoa perdeu o celular, removeu o aplicativo autenticador, trocou de aparelho sem migrar a conta ou esgotou os códigos de recuperação. Não use para senha incorreta, sessão expirada ou falha de atributo SSO; esses casos pertencem ao artigo de login.</w:t>
      </w:r>
    </w:p>
    <w:p>
      <w:pPr>
        <w:pStyle w:val="Heading1"/>
      </w:pPr>
      <w:r>
        <w:t>Verificação de identidade</w:t>
      </w:r>
    </w:p>
    <w:p>
      <w:r>
        <w:rPr>
          <w:i/>
          <w:color w:val="5A6974"/>
          <w:sz w:val="16"/>
        </w:rPr>
        <w:t>DOC-010#SEC-02</w:t>
      </w:r>
    </w:p>
    <w:p>
      <w:r>
        <w:t>O solicitante informa workspace, identificador do usuário e um número de ticket aberto por canal autenticado. Um Workspace Admin e um Security Admin validam a solicitação. Para workspaces sem Security Admin dedicado, o suporte Nuvexa executa a segunda validação mediante contrato de suporte.</w:t>
      </w:r>
    </w:p>
    <w:p>
      <w:r>
        <w:t>E-mail isolado, documento pessoal anexado ou mensagem de colega não bastam. Nenhum operador deve pedir a senha, o token atual ou códigos de recuperação.</w:t>
      </w:r>
    </w:p>
    <w:p>
      <w:pPr>
        <w:pStyle w:val="Heading1"/>
      </w:pPr>
      <w:r>
        <w:t>Reset controlado</w:t>
      </w:r>
    </w:p>
    <w:p>
      <w:r>
        <w:rPr>
          <w:i/>
          <w:color w:val="5A6974"/>
          <w:sz w:val="16"/>
        </w:rPr>
        <w:t>DOC-010#SEC-03</w:t>
      </w:r>
    </w:p>
    <w:p>
      <w:r>
        <w:t>O Security Admin abre Access Gate, seleciona Reset MFA e registra o ticket. O sistema gera o evento SEC-MFA-RESET e encerra todas as sessões do usuário. Um link de reativação de uso único fica válido por 20 minutos. Após cadastro do novo fator, a pessoa deve gerar novos códigos de recuperação; os antigos são invalidados.</w:t>
      </w:r>
    </w:p>
    <w:p>
      <w:pPr>
        <w:pStyle w:val="Heading1"/>
      </w:pPr>
      <w:r>
        <w:t>Conta administrativa sem segundo aprovador</w:t>
      </w:r>
    </w:p>
    <w:p>
      <w:r>
        <w:rPr>
          <w:i/>
          <w:color w:val="5A6974"/>
          <w:sz w:val="16"/>
        </w:rPr>
        <w:t>DOC-010#SEC-04</w:t>
      </w:r>
    </w:p>
    <w:p>
      <w:r>
        <w:t>Se o único Security Admin perdeu o fator, use uma conta break-glass e registre o acesso. Se nenhuma conta emergencial estiver disponível, escale como P1 de acesso e não altere a exigência de MFA do workspace. O incidente deve ser revisado no próximo dia útil.</w:t>
      </w:r>
    </w:p>
    <w:p>
      <w:pPr>
        <w:pStyle w:val="Heading1"/>
      </w:pPr>
      <w:r>
        <w:t>Público e pré-requisitos</w:t>
      </w:r>
    </w:p>
    <w:p>
      <w:r>
        <w:rPr>
          <w:i/>
          <w:color w:val="5A6974"/>
          <w:sz w:val="16"/>
        </w:rPr>
        <w:t>DOC-010#SEC-05</w:t>
      </w:r>
    </w:p>
    <w:p>
      <w:r>
        <w:t>Este documento é destinado a pessoas que operam ou administram a OrbeFlow e já conhecem workspace, ambiente e os identificadores básicos da plataforma. A leitura pressupõe acesso autorizado aos registros citados, nunca acesso ampliado apenas para investigação. O foco específico é controle de identidade, autorização explícita e rastreabilidade. Antes de agir, confirme se o workspace é de produção ou sandbox, qual plano está ativo e qual revisão ou versão aparece na evidência. O mesmo nome visual pode existir em ambientes diferentes. Copiar uma ação de sandbox para produção sem nova validação não é permitido. Quando a atividade exigir um papel que o leitor não possui, preserve as evidências e encaminhe para o responsável, sem tentar contornar o Access Gate.</w:t>
      </w:r>
    </w:p>
    <w:p>
      <w:pPr>
        <w:pStyle w:val="Heading1"/>
      </w:pPr>
      <w:r>
        <w:t>Evidências mínimas</w:t>
      </w:r>
    </w:p>
    <w:p>
      <w:r>
        <w:rPr>
          <w:i/>
          <w:color w:val="5A6974"/>
          <w:sz w:val="16"/>
        </w:rPr>
        <w:t>DOC-010#SEC-06</w:t>
      </w:r>
    </w:p>
    <w:p>
      <w:r>
        <w:t>Registre horário em UTC, região, workspace, ambiente, identificadores relevantes e o resultado observado. Para execuções, combine event_id, RUN-, workflow_id e revisão; para tarefas, inclua TSK- e estado; para conexões, inclua CON- e fornecedor, sem segredos. Códigos como PX-1047 ou RL-4290 devem ser copiados exatamente. Uma captura isolada pode omitir detalhes, portanto prefira exportação redigida ou campos estruturados. A ausência de um identificador deve ser declarada, não preenchida por inferência. Evidências pessoais ou comerciais que não contribuam para o diagnóstico devem ser removidas. O registro final precisa permitir que outra pessoa repita a análise sem depender da memória de quem iniciou o caso.</w:t>
      </w:r>
    </w:p>
    <w:p>
      <w:pPr>
        <w:pStyle w:val="Heading1"/>
      </w:pPr>
      <w:r>
        <w:t>Exemplo operacional</w:t>
      </w:r>
    </w:p>
    <w:p>
      <w:r>
        <w:rPr>
          <w:i/>
          <w:color w:val="5A6974"/>
          <w:sz w:val="16"/>
        </w:rPr>
        <w:t>DOC-010#SEC-07</w:t>
      </w:r>
    </w:p>
    <w:p>
      <w:r>
        <w:t>Considere uma solicitação relacionada a “Procedimento de recuperação de MFA”. O operador primeiro delimita período e ambiente, depois localiza o objeto pelo identificador e compara o comportamento esperado com o observado. Se houver diferença, registra uma hipótese por vez e escolhe a verificação de menor risco. Uma resposta sem código pode ser semanticamente parecida com vários artigos; por isso, o contexto do objeto e o estado atual são decisivos. Se a evidência apontar para outro domínio, o caso deve migrar com o histórico preservado. Repetir a operação com novos identificadores antes de compreender idempotência pode criar ruído, duplicidade externa ou perda de rastreabilidade.</w:t>
      </w:r>
    </w:p>
    <w:p>
      <w:pPr>
        <w:pStyle w:val="Heading1"/>
      </w:pPr>
      <w:r>
        <w:t>Limites e exceções</w:t>
      </w:r>
    </w:p>
    <w:p>
      <w:r>
        <w:rPr>
          <w:i/>
          <w:color w:val="5A6974"/>
          <w:sz w:val="16"/>
        </w:rPr>
        <w:t>DOC-010#SEC-08</w:t>
      </w:r>
    </w:p>
    <w:p>
      <w:r>
        <w:t>Este documento não autoriza mudanças de plano, redução de controles, exclusão de registros ou acesso a conteúdo não redigido. Valores comerciais e limites operacionais devem ser confirmados no catálogo vigente, mesmo quando uma nota histórica apresenta números. Uma exceção precisa de justificativa, prazo, responsável e aprovação compatível com o risco. Situações ligadas a autenticação, retenção ou residência de dados exigem participação de Security Admin. Durante incidente, a aprovação emergencial pode acelerar a mitigação, mas não elimina revisão posterior. Se duas fontes atuais parecerem incompatíveis, interrompa a ação e registre a divergência para correção documental.</w:t>
      </w:r>
    </w:p>
    <w:p>
      <w:pPr>
        <w:pStyle w:val="Heading1"/>
      </w:pPr>
      <w:r>
        <w:t>Validação e documentos relacionados</w:t>
      </w:r>
    </w:p>
    <w:p>
      <w:r>
        <w:rPr>
          <w:i/>
          <w:color w:val="5A6974"/>
          <w:sz w:val="16"/>
        </w:rPr>
        <w:t>DOC-010#SEC-09</w:t>
      </w:r>
    </w:p>
    <w:p>
      <w:r>
        <w:t>Conclua verificando se o resultado esperado realmente ocorreu e se não houve efeito colateral em outro módulo. Para mudanças, compare uma janela anterior e uma posterior; para suporte, reproduza apenas quando isso for seguro; para políticas, confirme versão e data efetiva. Os documentos relacionados mais úteis são DOC-005, DOC-009, DOC-011. A relação indica contexto, não precedência automática. Em conflito, uma política vigente supera um guia operacional, o catálogo vigente supera release notes históricas e a evidência do objeto supera suposições baseadas em nome. Registre o identificador da seção utilizada, pois futuras avaliações devem distinguir uma recuperação correta de um trecho apenas semanticamente próximo.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Nuvexa Sistemas | OrbeFlow | DOC-010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