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Política de retenção e descarte de dados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EC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DOC-023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3.0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2026-07-11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current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pt-BR</w:t>
            </w:r>
          </w:p>
        </w:tc>
      </w:tr>
    </w:tbl>
    <w:p/>
    <w:p>
      <w:pPr>
        <w:pStyle w:val="Heading1"/>
      </w:pPr>
      <w:r>
        <w:t>Escopo e princípios</w:t>
      </w:r>
    </w:p>
    <w:p>
      <w:r>
        <w:rPr>
          <w:i/>
          <w:color w:val="5A6974"/>
          <w:sz w:val="16"/>
        </w:rPr>
        <w:t>DOC-023#SEC-01</w:t>
      </w:r>
    </w:p>
    <w:p>
      <w:r>
        <w:t>A política cobre dados armazenados pela Nuvexa na OrbeFlow. Dados enviados a fornecedores por conectores seguem também as regras desses destinos. A região do workspace controla persistência da plataforma, mas não impede transferência solicitada pelo cliente.</w:t>
      </w:r>
    </w:p>
    <w:p>
      <w:pPr>
        <w:pStyle w:val="Heading1"/>
      </w:pPr>
      <w:r>
        <w:t>Prazos padrão</w:t>
      </w:r>
    </w:p>
    <w:p>
      <w:r>
        <w:rPr>
          <w:i/>
          <w:color w:val="5A6974"/>
          <w:sz w:val="16"/>
        </w:rPr>
        <w:t>DOC-023#SEC-02</w:t>
      </w:r>
    </w:p>
    <w:p>
      <w:r>
        <w:t>Metadados de execução ficam disponíveis por 90 dias no Starter, 180 dias no Growth e 365 dias no Enterprise. Payloads detalhados ficam por 30, 90 e 180 dias, respectivamente. Vault Records seguem 30, 180 e 365 dias. Logs de segurança ficam por 365 dias em todos os planos.</w:t>
      </w:r>
    </w:p>
    <w:p>
      <w:r>
        <w:t>Backups operacionais seguem ciclo de 35 dias e não são usados como arquivo consultável. Exclusões confirmadas desaparecem dos sistemas ativos primeiro e dos backups por expiração do ciclo.</w:t>
      </w:r>
    </w:p>
    <w:p>
      <w:pPr>
        <w:pStyle w:val="Heading1"/>
      </w:pPr>
      <w:r>
        <w:t>Legal hold e exportação</w:t>
      </w:r>
    </w:p>
    <w:p>
      <w:r>
        <w:rPr>
          <w:i/>
          <w:color w:val="5A6974"/>
          <w:sz w:val="16"/>
        </w:rPr>
        <w:t>DOC-023#SEC-03</w:t>
      </w:r>
    </w:p>
    <w:p>
      <w:r>
        <w:t>Legal hold suspende descarte para objetos identificados e exige autorização jurídica registrada. A retenção estendida do Enterprise pode ampliar metadados e Vault Records mediante contrato, mas não altera automaticamente logs de payload. Exportações realizadas pelo cliente deixam de estar sob controle da plataforma.</w:t>
      </w:r>
    </w:p>
    <w:p>
      <w:pPr>
        <w:pStyle w:val="Heading1"/>
      </w:pPr>
      <w:r>
        <w:t>Descarte e verificação</w:t>
      </w:r>
    </w:p>
    <w:p>
      <w:r>
        <w:rPr>
          <w:i/>
          <w:color w:val="5A6974"/>
          <w:sz w:val="16"/>
        </w:rPr>
        <w:t>DOC-023#SEC-04</w:t>
      </w:r>
    </w:p>
    <w:p>
      <w:r>
        <w:t>O descarte automático registra lote, categoria, região e contagem. Falhas abrem evento OPS-RET-FAIL. Pedidos de encerramento de workspace exigem confirmação de proprietário e verificação de legal hold. A equipe não deve prometer remoção imediata de backups.</w:t>
      </w:r>
    </w:p>
    <w:p>
      <w:pPr>
        <w:pStyle w:val="Heading1"/>
      </w:pPr>
      <w:r>
        <w:t>Público e pré-requisitos</w:t>
      </w:r>
    </w:p>
    <w:p>
      <w:r>
        <w:rPr>
          <w:i/>
          <w:color w:val="5A6974"/>
          <w:sz w:val="16"/>
        </w:rPr>
        <w:t>DOC-023#SEC-05</w:t>
      </w:r>
    </w:p>
    <w:p>
      <w:r>
        <w:t>Este documento é destinado a pessoas que operam ou administram a OrbeFlow e já conhecem workspace, ambiente e os identificadores básicos da plataforma. A leitura pressupõe acesso autorizado aos registros citados, nunca acesso ampliado apenas para investigação. O foco específico é responsabilidade, aprovação, evidência e tratamento de exceções. Antes de agir, confirme se o workspace é de produção ou sandbox, qual plano está ativo e qual revisão ou versão aparece na evidência. O mesmo nome visual pode existir em ambientes diferentes. Copiar uma ação de sandbox para produção sem nova validação não é permitido. Quando a atividade exigir um papel que o leitor não possui, preserve as evidências e encaminhe para o responsável, sem tentar contornar o Access Gate.</w:t>
      </w:r>
    </w:p>
    <w:p>
      <w:pPr>
        <w:pStyle w:val="Heading1"/>
      </w:pPr>
      <w:r>
        <w:t>Evidências mínimas</w:t>
      </w:r>
    </w:p>
    <w:p>
      <w:r>
        <w:rPr>
          <w:i/>
          <w:color w:val="5A6974"/>
          <w:sz w:val="16"/>
        </w:rPr>
        <w:t>DOC-023#SEC-06</w:t>
      </w:r>
    </w:p>
    <w:p>
      <w:r>
        <w:t>Registre horário em UTC, região, workspace, ambiente, identificadores relevantes e o resultado observado. Para execuções, combine event_id, RUN-, workflow_id e revisão; para tarefas, inclua TSK- e estado; para conexões, inclua CON- e fornecedor, sem segredos. Códigos como PX-1047 ou RL-4290 devem ser copiados exatamente. Uma captura isolada pode omitir detalhes, portanto prefira exportação redigida ou campos estruturados. A ausência de um identificador deve ser declarada, não preenchida por inferência. Evidências pessoais ou comerciais que não contribuam para o diagnóstico devem ser removidas. O registro final precisa permitir que outra pessoa repita a análise sem depender da memória de quem iniciou o caso.</w:t>
      </w:r>
    </w:p>
    <w:p>
      <w:pPr>
        <w:pStyle w:val="Heading1"/>
      </w:pPr>
      <w:r>
        <w:t>Exemplo operacional</w:t>
      </w:r>
    </w:p>
    <w:p>
      <w:r>
        <w:rPr>
          <w:i/>
          <w:color w:val="5A6974"/>
          <w:sz w:val="16"/>
        </w:rPr>
        <w:t>DOC-023#SEC-07</w:t>
      </w:r>
    </w:p>
    <w:p>
      <w:r>
        <w:t>Considere uma solicitação relacionada a “Política de retenção e descarte de dados”. O operador primeiro delimita período e ambiente, depois localiza o objeto pelo identificador e compara o comportamento esperado com o observado. Se houver diferença, registra uma hipótese por vez e escolhe a verificação de menor risco. Uma resposta sem código pode ser semanticamente parecida com vários artigos; por isso, o contexto do objeto e o estado atual são decisivos. Se a evidência apontar para outro domínio, o caso deve migrar com o histórico preservado. Repetir a operação com novos identificadores antes de compreender idempotência pode criar ruído, duplicidade externa ou perda de rastreabilidade.</w:t>
      </w:r>
    </w:p>
    <w:p>
      <w:pPr>
        <w:pStyle w:val="Heading1"/>
      </w:pPr>
      <w:r>
        <w:t>Limites e exceções</w:t>
      </w:r>
    </w:p>
    <w:p>
      <w:r>
        <w:rPr>
          <w:i/>
          <w:color w:val="5A6974"/>
          <w:sz w:val="16"/>
        </w:rPr>
        <w:t>DOC-023#SEC-08</w:t>
      </w:r>
    </w:p>
    <w:p>
      <w:r>
        <w:t>Este documento não autoriza mudanças de plano, redução de controles, exclusão de registros ou acesso a conteúdo não redigido. Valores comerciais e limites operacionais devem ser confirmados no catálogo vigente, mesmo quando uma nota histórica apresenta números. Uma exceção precisa de justificativa, prazo, responsável e aprovação compatível com o risco. Situações ligadas a autenticação, retenção ou residência de dados exigem participação de Security Admin. Durante incidente, a aprovação emergencial pode acelerar a mitigação, mas não elimina revisão posterior. Se duas fontes atuais parecerem incompatíveis, interrompa a ação e registre a divergência para correção documental.</w:t>
      </w:r>
    </w:p>
    <w:p>
      <w:pPr>
        <w:pStyle w:val="Heading1"/>
      </w:pPr>
      <w:r>
        <w:t>Validação e documentos relacionados</w:t>
      </w:r>
    </w:p>
    <w:p>
      <w:r>
        <w:rPr>
          <w:i/>
          <w:color w:val="5A6974"/>
          <w:sz w:val="16"/>
        </w:rPr>
        <w:t>DOC-023#SEC-09</w:t>
      </w:r>
    </w:p>
    <w:p>
      <w:r>
        <w:t>Conclua verificando se o resultado esperado realmente ocorreu e se não houve efeito colateral em outro módulo. Para mudanças, compare uma janela anterior e uma posterior; para suporte, reproduza apenas quando isso for seguro; para políticas, confirme versão e data efetiva. Os documentos relacionados mais úteis são DOC-004, DOC-009, DOC-014. A relação indica contexto, não precedência automática. Em conflito, uma política vigente supera um guia operacional, o catálogo vigente supera release notes históricas e a evidência do objeto supera suposições baseadas em nome. Registre o identificador da seção utilizada, pois futuras avaliações devem distinguir uma recuperação correta de um trecho apenas semanticamente próximo.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Nuvexa Sistemas | OrbeFlow | DOC-023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