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[NOME DA INSTITUIÇÃO]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[NOME DO CURSO]</w:t>
      </w:r>
    </w:p>
    <w:p>
      <w:pPr>
        <w:spacing w:before="1400"/>
      </w:pP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[NOME DO(S) AUTOR(ES)]</w:t>
      </w:r>
    </w:p>
    <w:p>
      <w:pPr>
        <w:spacing w:before="26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3A6E"/>
          <w:sz w:val="32"/>
          <w:szCs w:val="32"/>
        </w:rPr>
        <w:t xml:space="preserve">PIVOT HUB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PLATAFORMA SAAS DE GESTÃO COMERCIAL PARA PEQUENAS EMPRESAS DE SERVIÇOS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Documentação técnica do projeto: processos, requisitos, modelagem, diagramas, protótipo, desenvolvimento e testes</w:t>
      </w:r>
    </w:p>
    <w:p>
      <w:pPr>
        <w:spacing w:before="3800"/>
      </w:pP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[CIDADE]</w:t>
      </w:r>
    </w:p>
    <w:p>
      <w:pPr>
        <w:jc w:val="center"/>
        <w:sectPr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  <w:r>
        <w:rPr>
          <w:rFonts w:ascii="Arial" w:cs="Arial" w:eastAsia="Arial" w:hAnsi="Arial"/>
          <w:sz w:val="24"/>
          <w:szCs w:val="24"/>
        </w:rPr>
        <w:t xml:space="preserve">2026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SUMÁRIO</w:t>
      </w:r>
    </w:p>
    <w:sdt>
      <w:sdtPr>
        <w:alias w:val="Sumário"/>
      </w:sdtPr>
      <w:sdtContent>
        <w:p>
          <w:pPr>
            <w:pStyle w:val="TOC1"/>
            <w:tabs>
              <w:tab w:val="right" w:pos="9071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 INTRODUÇÃO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2">
            <w:r>
              <w:t xml:space="preserve">1.1 Objetivo geral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3">
            <w:r>
              <w:t xml:space="preserve">1.2 Objetivos específicos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4">
            <w:r>
              <w:t xml:space="preserve">1.3 Escopo e público-alvo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5">
            <w:r>
              <w:t xml:space="preserve">1.4 Metodologia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1" w:leader="dot"/>
            </w:tabs>
          </w:pPr>
          <w:hyperlink w:history="1" w:anchor="_Toc6">
            <w:r>
              <w:t xml:space="preserve">2 LEVANTAMENTO DE PROCESSOS (AS-IS E TO-BE)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7">
            <w:r>
              <w:t xml:space="preserve">2.1 Processo atual da operação (AS-IS)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8">
            <w:r>
              <w:t xml:space="preserve">2.2 Processo proposto da operação (TO-BE)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9">
            <w:r>
              <w:t xml:space="preserve">2.3 Processo atual de comercialização do SaaS (AS-IS)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10">
            <w:r>
              <w:t xml:space="preserve">2.4 Processo proposto de comercialização do SaaS (TO-BE)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11">
            <w:r>
              <w:t xml:space="preserve">2.5 Ganhos esperados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1" w:leader="dot"/>
            </w:tabs>
          </w:pPr>
          <w:hyperlink w:history="1" w:anchor="_Toc12">
            <w:r>
              <w:t xml:space="preserve">3 REQUISITOS E REGRAS DE NEGÓCIO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13">
            <w:r>
              <w:t xml:space="preserve">3.1 Atores e perfis de acesso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14">
            <w:r>
              <w:t xml:space="preserve">3.2 Requisitos funcionais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15">
            <w:r>
              <w:t xml:space="preserve">3.3 Requisitos não funcionais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16">
            <w:r>
              <w:t xml:space="preserve">3.4 Regras de negócio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1" w:leader="dot"/>
            </w:tabs>
          </w:pPr>
          <w:hyperlink w:history="1" w:anchor="_Toc17">
            <w:r>
              <w:t xml:space="preserve">4 MODELAGEM DO BANCO DE DADOS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18">
            <w:r>
              <w:t xml:space="preserve">4.1 Abordagem adotada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19">
            <w:r>
              <w:t xml:space="preserve">4.2 Modelo físico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20">
            <w:r>
              <w:t xml:space="preserve">4.3 Modelo lógico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21">
            <w:r>
              <w:t xml:space="preserve">4.4 Dicionário de dados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1" w:leader="dot"/>
            </w:tabs>
          </w:pPr>
          <w:hyperlink w:history="1" w:anchor="_Toc22">
            <w:r>
              <w:t xml:space="preserve">5 DIAGRAMAS E FLUXOGRAMAS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23">
            <w:r>
              <w:t xml:space="preserve">5.1 Diagrama de casos de uso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24">
            <w:r>
              <w:t xml:space="preserve">5.2 Arquitetura da solução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25">
            <w:r>
              <w:t xml:space="preserve">5.3 Diagrama de sequência – login e autorização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26">
            <w:r>
              <w:t xml:space="preserve">5.4 Diagrama de sequência – cobrança automática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27">
            <w:r>
              <w:t xml:space="preserve">5.5 Diagramas de estados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28">
            <w:r>
              <w:t xml:space="preserve">5.6 Fluxograma da rotina diária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1" w:leader="dot"/>
            </w:tabs>
          </w:pPr>
          <w:hyperlink w:history="1" w:anchor="_Toc29">
            <w:r>
              <w:t xml:space="preserve">6 PROTÓTIPO DAS TELAS E FUNCIONALIDADES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30">
            <w:r>
              <w:t xml:space="preserve">6.1 Protótipo inicial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31">
            <w:r>
              <w:t xml:space="preserve">6.2 Identidade visual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32">
            <w:r>
              <w:t xml:space="preserve">6.3 Descrição das funcionalidades por tela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1" w:leader="dot"/>
            </w:tabs>
          </w:pPr>
          <w:hyperlink w:history="1" w:anchor="_Toc33">
            <w:r>
              <w:t xml:space="preserve">7 DESENVOLVIMENTO DA APLICAÇÃO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34">
            <w:r>
              <w:t xml:space="preserve">7.1 Tecnologias utilizadas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35">
            <w:r>
              <w:t xml:space="preserve">7.2 Organização do código-fonte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36">
            <w:r>
              <w:t xml:space="preserve">7.3 Principais decisões técnicas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37">
            <w:r>
              <w:t xml:space="preserve">7.4 Trechos de código relevantes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38">
            <w:r>
              <w:t xml:space="preserve">7.5 Execução e publicação (README)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1" w:leader="dot"/>
            </w:tabs>
          </w:pPr>
          <w:hyperlink w:history="1" w:anchor="_Toc39">
            <w:r>
              <w:t xml:space="preserve">8 CAPTURAS DE TELA DO SISTEMA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1" w:leader="dot"/>
            </w:tabs>
          </w:pPr>
          <w:hyperlink w:history="1" w:anchor="_Toc40">
            <w:r>
              <w:t xml:space="preserve">9 TESTES E REGISTRO DOS RESULTADOS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41">
            <w:r>
              <w:t xml:space="preserve">9.1 Estratégia de testes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42">
            <w:r>
              <w:t xml:space="preserve">9.2 Ambiente de teste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43">
            <w:r>
              <w:t xml:space="preserve">9.3 Casos de teste e resultados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44">
            <w:r>
              <w:t xml:space="preserve">9.4 Resumo dos resultados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45">
            <w:r>
              <w:t xml:space="preserve">9.5 Registro de defeitos encontrados e corrigidos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46">
            <w:r>
              <w:t xml:space="preserve">9.6 Limitações dos testes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1" w:leader="dot"/>
            </w:tabs>
          </w:pPr>
          <w:hyperlink w:history="1" w:anchor="_Toc47">
            <w:r>
              <w:t xml:space="preserve">10 CONSIDERAÇÕES FINAIS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48">
            <w:r>
              <w:t xml:space="preserve">10.1 Trabalhos futuros</w:t>
            </w:r>
            <w:r>
              <w:tab/>
            </w:r>
            <w:r>
              <w:fldChar w:fldCharType="begin" w:dirty="true"/>
              <w:instrText xml:space="preserve">PAGEREF _Toc48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1" w:leader="dot"/>
            </w:tabs>
          </w:pPr>
          <w:hyperlink w:history="1" w:anchor="_Toc49">
            <w:r>
              <w:t xml:space="preserve">REFERÊNCIAS</w:t>
            </w:r>
            <w:r>
              <w:tab/>
            </w:r>
            <w:r>
              <w:fldChar w:fldCharType="begin" w:dirty="true"/>
              <w:instrText xml:space="preserve">PAGEREF _Toc49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1" w:leader="dot"/>
            </w:tabs>
          </w:pPr>
          <w:hyperlink w:history="1" w:anchor="_Toc50">
            <w:r>
              <w:t xml:space="preserve">APÊNDICE A – GLOSSÁRIO</w:t>
            </w:r>
            <w:r>
              <w:tab/>
            </w:r>
            <w:r>
              <w:fldChar w:fldCharType="begin" w:dirty="true"/>
              <w:instrText xml:space="preserve">PAGEREF _Toc50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1" w:leader="dot"/>
            </w:tabs>
          </w:pPr>
          <w:hyperlink w:history="1" w:anchor="_Toc51">
            <w:r>
              <w:t xml:space="preserve">ANEXO A – MODELO DE CONTRATO DE LICENÇA DE USO</w:t>
            </w:r>
            <w:r>
              <w:tab/>
            </w:r>
            <w:r>
              <w:fldChar w:fldCharType="begin" w:dirty="true"/>
              <w:instrText xml:space="preserve">PAGEREF _Toc51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40"/>
        <w:sectPr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  <w:r>
        <w:rPr>
          <w:rFonts w:ascii="Arial" w:cs="Arial" w:eastAsia="Arial" w:hAnsi="Arial"/>
          <w:i/>
          <w:iCs/>
          <w:color w:val="6B7A90"/>
          <w:sz w:val="18"/>
          <w:szCs w:val="18"/>
        </w:rPr>
        <w:t xml:space="preserve">Observação: ao abrir no Word, confirme a atualização dos campos (ou clique com o botão direito no sumário → Atualizar campo → Atualizar o índice inteiro) para gerar as páginas.</w:t>
      </w:r>
    </w:p>
    <w:p>
      <w:pPr>
        <w:pStyle w:val="Heading1"/>
        <w:pageBreakBefore/>
      </w:pPr>
      <w:bookmarkStart w:name="_Toc1" w:id="1"/>
      <w:r>
        <w:rPr>
          <w:rFonts w:ascii="Arial" w:cs="Arial" w:eastAsia="Arial" w:hAnsi="Arial"/>
        </w:rPr>
        <w:t xml:space="preserve">1 INTRODUÇÃO</w:t>
      </w:r>
      <w:bookmarkEnd w:id="1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Micro e pequenas empresas de serviços — assistências técnicas, escolas de cursos livres, agências, oficinas e prestadores em geral — costumam operar com planilhas, cadernos e conversas de WhatsApp. Essa forma de trabalho até funciona enquanto o volume é pequeno, mas cobra um preço conforme o negócio cresce: orçamentos esquecidos sem follow-up, ordens de serviço atrasadas sem que ninguém perceba, peças compradas às pressas, cobranças feitas de memória e, principalmente, falta de visão sobre o resultado. O empresário sabe que trabalhou muito, mas não sabe com precisão quanto faturou, quanto sobrou, quais clientes estão deixando de comprar ou onde deveria agir primeiro.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Este documento apresenta o </w:t>
      </w:r>
      <w:r>
        <w:rPr>
          <w:rFonts w:ascii="Arial" w:cs="Arial" w:eastAsia="Arial" w:hAnsi="Arial"/>
          <w:b/>
          <w:bCs/>
        </w:rPr>
        <w:t xml:space="preserve">Pivot Hub</w:t>
      </w:r>
      <w:r>
        <w:rPr>
          <w:rFonts w:ascii="Arial" w:cs="Arial" w:eastAsia="Arial" w:hAnsi="Arial"/>
        </w:rPr>
        <w:t xml:space="preserve">, uma plataforma web de gestão comercial oferecida no modelo SaaS (Software as a Service). A plataforma tem duas perspectivas complementares: a da </w:t>
      </w:r>
      <w:r>
        <w:rPr>
          <w:rFonts w:ascii="Arial" w:cs="Arial" w:eastAsia="Arial" w:hAnsi="Arial"/>
          <w:b/>
          <w:bCs/>
        </w:rPr>
        <w:t xml:space="preserve">empresa assinante</w:t>
      </w:r>
      <w:r>
        <w:rPr>
          <w:rFonts w:ascii="Arial" w:cs="Arial" w:eastAsia="Arial" w:hAnsi="Arial"/>
        </w:rPr>
        <w:t xml:space="preserve">, que usa o sistema para organizar clientes, orçamentos, funil de vendas, ordens de serviço, estoque, agenda, financeiro, contratos recorrentes, treinamentos e redes sociais; e a do </w:t>
      </w:r>
      <w:r>
        <w:rPr>
          <w:rFonts w:ascii="Arial" w:cs="Arial" w:eastAsia="Arial" w:hAnsi="Arial"/>
          <w:b/>
          <w:bCs/>
        </w:rPr>
        <w:t xml:space="preserve">fornecedor da plataforma</w:t>
      </w:r>
      <w:r>
        <w:rPr>
          <w:rFonts w:ascii="Arial" w:cs="Arial" w:eastAsia="Arial" w:hAnsi="Arial"/>
        </w:rPr>
        <w:t xml:space="preserve">, que comercializa o sistema por planos (Básico, Intermediário e Completo), controla assinantes, faturamento recorrente e cobrança automática integrada ao gateway de pagamentos Asaas.</w:t>
      </w:r>
    </w:p>
    <w:p>
      <w:pPr>
        <w:pStyle w:val="Heading2"/>
      </w:pPr>
      <w:bookmarkStart w:name="_Toc2" w:id="2"/>
      <w:r>
        <w:rPr>
          <w:rFonts w:ascii="Arial" w:cs="Arial" w:eastAsia="Arial" w:hAnsi="Arial"/>
        </w:rPr>
        <w:t xml:space="preserve">1.1 Objetivo geral</w:t>
      </w:r>
      <w:bookmarkEnd w:id="2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Desenvolver uma plataforma SaaS de gestão comercial para pequenas empresas de serviços que transforme dados operacionais em indicadores e recomendações de ação, e que possa ser comercializada por planos com cobrança recorrente automatizada.</w:t>
      </w:r>
    </w:p>
    <w:p>
      <w:pPr>
        <w:pStyle w:val="Heading2"/>
      </w:pPr>
      <w:bookmarkStart w:name="_Toc3" w:id="3"/>
      <w:r>
        <w:rPr>
          <w:rFonts w:ascii="Arial" w:cs="Arial" w:eastAsia="Arial" w:hAnsi="Arial"/>
        </w:rPr>
        <w:t xml:space="preserve">1.2 Objetivos específicos</w:t>
      </w:r>
      <w:bookmarkEnd w:id="3"/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Levantar os processos atuais (AS-IS) de uma pequena empresa de serviços e propor os processos futuros (TO-BE) apoiados pelo sistema;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Especificar requisitos funcionais, não funcionais e regras de negócio;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Modelar o banco de dados para operação multiempresa, com isolamento de dados por assinante;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Implementar 17 módulos de gestão e um console de administração da plataforma com 4 telas;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Integrar a cobrança das assinaturas ao Asaas, com baixa automática por webhook e régua de inadimplência;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Publicar a aplicação em infraestrutura serverless (Cloudflare Workers e D1) com implantação contínua a partir do GitHub;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Executar e registrar testes de segurança, regras de negócio, integração e interface.</w:t>
      </w:r>
    </w:p>
    <w:p>
      <w:pPr>
        <w:pStyle w:val="Heading2"/>
      </w:pPr>
      <w:bookmarkStart w:name="_Toc4" w:id="4"/>
      <w:r>
        <w:rPr>
          <w:rFonts w:ascii="Arial" w:cs="Arial" w:eastAsia="Arial" w:hAnsi="Arial"/>
        </w:rPr>
        <w:t xml:space="preserve">1.3 Escopo e público-alvo</w:t>
      </w:r>
      <w:bookmarkEnd w:id="4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O público-alvo são empresas com 1 a 10 usuários que vendem serviços e precisam de controle comercial e operacional sem a complexidade de um ERP. A base de demonstração utilizada ao longo deste documento simula uma empresa de tecnologia que oferece treinamentos de informática, manutenção de computadores e criação de sites, mas os módulos foram construídos de forma genérica (catálogo de serviços, ordens de serviço, contratos), o que permite atender outros segmentos — como confirmado pela carteira de demonstração do console, com oficinas, clínicas, escolas, salões e academias.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Ficam fora do escopo desta versão: emissão de nota fiscal eletrônica, integração bancária para conciliação de extratos, aplicativo nativo para celular e atendimento por chat dentro da plataforma, apontados como trabalhos futuros no capítulo 10.</w:t>
      </w:r>
    </w:p>
    <w:p>
      <w:pPr>
        <w:pStyle w:val="Heading2"/>
      </w:pPr>
      <w:bookmarkStart w:name="_Toc5" w:id="5"/>
      <w:r>
        <w:rPr>
          <w:rFonts w:ascii="Arial" w:cs="Arial" w:eastAsia="Arial" w:hAnsi="Arial"/>
        </w:rPr>
        <w:t xml:space="preserve">1.4 Metodologia</w:t>
      </w:r>
      <w:bookmarkEnd w:id="5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O desenvolvimento seguiu um processo incremental e iterativo. Partiu-se de um protótipo de alta fidelidade com as dez telas principais (seção 6.1), que orientou a primeira versão funcional. Cada incremento seguinte acrescentou módulos (serviços, estoque, contratos, treinamentos, planejamento, social media), depois a camada SaaS multiempresa e, por fim, a integração de cobrança. A cada incremento foram executadas verificação de tipos, build de produção e testes automatizados de interface e de API, e os defeitos encontrados foram corrigidos antes da publicação (capítulo 9).</w:t>
      </w:r>
    </w:p>
    <w:p>
      <w:pPr>
        <w:pStyle w:val="Heading1"/>
        <w:pageBreakBefore/>
      </w:pPr>
      <w:bookmarkStart w:name="_Toc6" w:id="6"/>
      <w:r>
        <w:rPr>
          <w:rFonts w:ascii="Arial" w:cs="Arial" w:eastAsia="Arial" w:hAnsi="Arial"/>
        </w:rPr>
        <w:t xml:space="preserve">2 LEVANTAMENTO DE PROCESSOS (AS-IS E TO-BE)</w:t>
      </w:r>
      <w:bookmarkEnd w:id="6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O levantamento foi organizado em dois fluxos de valor: (i) a operação comercial da empresa que usa o sistema, do primeiro contato do cliente até o recebimento; e (ii) a comercialização do próprio Pivot Hub como SaaS, da venda da assinatura à cobrança mensal. Para cada fluxo são apresentados o processo atual (AS-IS), seus problemas e impactos, o processo proposto (TO-BE) e os indicadores que permitem medir o ganho.</w:t>
      </w:r>
    </w:p>
    <w:p>
      <w:pPr>
        <w:pStyle w:val="Heading2"/>
      </w:pPr>
      <w:bookmarkStart w:name="_Toc7" w:id="7"/>
      <w:r>
        <w:rPr>
          <w:rFonts w:ascii="Arial" w:cs="Arial" w:eastAsia="Arial" w:hAnsi="Arial"/>
        </w:rPr>
        <w:t xml:space="preserve">2.1 Processo atual da operação (AS-IS)</w:t>
      </w:r>
      <w:bookmarkEnd w:id="7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No cenário atual, o contato chega por WhatsApp ou telefone e é anotado em caderno. O orçamento é montado em editor de texto ou planilha e enviado pelo próprio WhatsApp, sem controle de validade ou de retorno. Quando aprovado, o serviço é executado com controle em papel; as peças são compradas conforme a necessidade, sem estoque mínimo. A cobrança é feita manualmente na entrega e o lançamento financeiro depende de alguém lembrar de registrá-lo. A Figura 1 resume o fluxo, com os pontos de perda destacados em vermelho.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1 – Fluxo AS-IS da operação comercial</w:t>
      </w:r>
    </w:p>
    <w:p>
      <w:pPr>
        <w:keepNext/>
        <w:jc w:val="center"/>
      </w:pPr>
      <w:r>
        <w:drawing>
          <wp:inline distT="0" distB="0" distL="0" distR="0">
            <wp:extent cx="3095625" cy="6667500"/>
            <wp:effectExtent t="0" r="0" b="0" l="0"/>
            <wp:docPr id="1" name="asis-operacao.png" descr="Fluxo AS-IS da operação comercial" title="Fluxo AS-IS da operação comerc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1 – Problemas do processo atual e impacto no negócio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70"/>
        <w:gridCol w:w="1996"/>
        <w:gridCol w:w="2358"/>
        <w:gridCol w:w="3447"/>
      </w:tblGrid>
      <w:tr>
        <w:trPr>
          <w:tblHeader/>
        </w:trPr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Etapa</w:t>
            </w:r>
          </w:p>
        </w:tc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Como é feito hoje</w:t>
            </w:r>
          </w:p>
        </w:tc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Problema</w:t>
            </w:r>
          </w:p>
        </w:tc>
        <w:tc>
          <w:tcPr>
            <w:tcW w:type="dxa" w:w="344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Impacto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Atendimento</w:t>
            </w:r>
          </w:p>
        </w:tc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Anotação em caderno / WhatsApp</w:t>
            </w:r>
          </w:p>
        </w:tc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Histórico disperso, sem origem do cliente</w:t>
            </w:r>
          </w:p>
        </w:tc>
        <w:tc>
          <w:tcPr>
            <w:tcW w:type="dxa" w:w="344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 se sabe qual canal traz clientes; esforço de marketing sem medição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Orçamento</w:t>
            </w:r>
          </w:p>
        </w:tc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Word/planilha enviado por WhatsApp</w:t>
            </w:r>
          </w:p>
        </w:tc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 validade nem follow-up</w:t>
            </w:r>
          </w:p>
        </w:tc>
        <w:tc>
          <w:tcPr>
            <w:tcW w:type="dxa" w:w="344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Propostas esquecidas; perda de vendas e conversão desconhecida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Execução (OS)</w:t>
            </w:r>
          </w:p>
        </w:tc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Controle em papel</w:t>
            </w:r>
          </w:p>
        </w:tc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Prazos não monitorados</w:t>
            </w:r>
          </w:p>
        </w:tc>
        <w:tc>
          <w:tcPr>
            <w:tcW w:type="dxa" w:w="344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Atrasos percebidos só quando o cliente reclama; risco de perda do cliente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Peças</w:t>
            </w:r>
          </w:p>
        </w:tc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Compra sob demanda</w:t>
            </w:r>
          </w:p>
        </w:tc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 estoque mínimo nem custo por OS</w:t>
            </w:r>
          </w:p>
        </w:tc>
        <w:tc>
          <w:tcPr>
            <w:tcW w:type="dxa" w:w="344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Serviço parado aguardando peça; margem real desconhecida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Cobrança</w:t>
            </w:r>
          </w:p>
        </w:tc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Manual na entrega, às vezes fiado</w:t>
            </w:r>
          </w:p>
        </w:tc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 controle de pendências</w:t>
            </w:r>
          </w:p>
        </w:tc>
        <w:tc>
          <w:tcPr>
            <w:tcW w:type="dxa" w:w="344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Inadimplência invisível; caixa imprevisível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Gestão</w:t>
            </w:r>
          </w:p>
        </w:tc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Planilha atualizada quando possível</w:t>
            </w:r>
          </w:p>
        </w:tc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Dados incompletos e atrasados</w:t>
            </w:r>
          </w:p>
        </w:tc>
        <w:tc>
          <w:tcPr>
            <w:tcW w:type="dxa" w:w="344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Decisões por intuição; sem meta, margem, ticket médio ou clientes em risco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</w:pPr>
      <w:bookmarkStart w:name="_Toc8" w:id="8"/>
      <w:r>
        <w:rPr>
          <w:rFonts w:ascii="Arial" w:cs="Arial" w:eastAsia="Arial" w:hAnsi="Arial"/>
        </w:rPr>
        <w:t xml:space="preserve">2.2 Processo proposto da operação (TO-BE)</w:t>
      </w:r>
      <w:bookmarkEnd w:id="8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No processo proposto, todo contato vira cliente e oportunidade no funil, com o canal de origem registrado. O orçamento é montado a partir do catálogo de serviços (preço de tabela e margem), gera proposta em PDF e passa a ser monitorado: propostas que vencem em até N dias (padrão 5) geram alerta de follow-up. Ao ser aprovado, o orçamento é convertido em ordem de serviço com prazo e técnico; o consumo de peças baixa o estoque. Ao finalizar a OS, a receita é lançada automaticamente no financeiro e o cliente pode avaliar o atendimento (NPS). O painel inicial consolida faturamento, meta, margem e os alertas "Onde agir agora" (Figura 2).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2 – Fluxo TO-BE da operação com o Pivot Hub</w:t>
      </w:r>
    </w:p>
    <w:p>
      <w:pPr>
        <w:keepNext/>
        <w:jc w:val="center"/>
      </w:pPr>
      <w:r>
        <w:drawing>
          <wp:inline distT="0" distB="0" distL="0" distR="0">
            <wp:extent cx="2943225" cy="7239000"/>
            <wp:effectExtent t="0" r="0" b="0" l="0"/>
            <wp:docPr id="2" name="tobe-operacao.png" descr="Fluxo TO-BE da operação com o Pivot Hub" title="Fluxo TO-BE da operação com o Pivot 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2 – Comparativo AS-IS × TO-BE e indicador de acompanhamento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70"/>
        <w:gridCol w:w="1633"/>
        <w:gridCol w:w="2903"/>
        <w:gridCol w:w="3265"/>
      </w:tblGrid>
      <w:tr>
        <w:trPr>
          <w:tblHeader/>
        </w:trPr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Processo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AS-IS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TO-BE (Pivot Hub)</w:t>
            </w:r>
          </w:p>
        </w:tc>
        <w:tc>
          <w:tcPr>
            <w:tcW w:type="dxa" w:w="32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Indicador para medir o ganho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Captação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Origem não registrada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Origem do lead no funil e atribuição a posts</w:t>
            </w:r>
          </w:p>
        </w:tc>
        <w:tc>
          <w:tcPr>
            <w:tcW w:type="dxa" w:w="32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Leads e vendas por canal; custo por lead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Orçamento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 follow-up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Catálogo, PDF e alerta de vencimento</w:t>
            </w:r>
          </w:p>
        </w:tc>
        <w:tc>
          <w:tcPr>
            <w:tcW w:type="dxa" w:w="32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Taxa de conversão de orçamentos; tempo de resposta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Funil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Inexistente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Kanban com previsão ponderada</w:t>
            </w:r>
          </w:p>
        </w:tc>
        <w:tc>
          <w:tcPr>
            <w:tcW w:type="dxa" w:w="32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Valor em negociação; oportunidades paradas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Ordem de serviço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Papel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Prazo, técnico, status e alerta de atraso</w:t>
            </w:r>
          </w:p>
        </w:tc>
        <w:tc>
          <w:tcPr>
            <w:tcW w:type="dxa" w:w="32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% de OS no prazo; tempo médio de execução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Estoque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Compra emergencial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Mínimo, cobertura e lista de compras</w:t>
            </w:r>
          </w:p>
        </w:tc>
        <w:tc>
          <w:tcPr>
            <w:tcW w:type="dxa" w:w="32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Itens abaixo do mínimo; OS aguardando peça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Financeiro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Lançamento esporádico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Receita automática da OS; contas a receber</w:t>
            </w:r>
          </w:p>
        </w:tc>
        <w:tc>
          <w:tcPr>
            <w:tcW w:type="dxa" w:w="32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Faturamento × meta; margem; valores a receber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Recorrência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 existe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Contratos com cobrança mensal gerada</w:t>
            </w:r>
          </w:p>
        </w:tc>
        <w:tc>
          <w:tcPr>
            <w:tcW w:type="dxa" w:w="32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MRR e peso da receita recorrente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Relacionamento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Reativo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Clientes em risco (90 dias) e NPS</w:t>
            </w:r>
          </w:p>
        </w:tc>
        <w:tc>
          <w:tcPr>
            <w:tcW w:type="dxa" w:w="32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Clientes reativados; NPS; detratores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</w:pPr>
      <w:bookmarkStart w:name="_Toc9" w:id="9"/>
      <w:r>
        <w:rPr>
          <w:rFonts w:ascii="Arial" w:cs="Arial" w:eastAsia="Arial" w:hAnsi="Arial"/>
        </w:rPr>
        <w:t xml:space="preserve">2.3 Processo atual de comercialização do SaaS (AS-IS)</w:t>
      </w:r>
      <w:bookmarkEnd w:id="9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Sem uma camada de plataforma, vender o sistema para outras empresas exigiria contrato preenchido manualmente, liberação manual de acesso, cobrança mensal enviada uma a uma e conferência de extrato para descobrir quem pagou. A inadimplência seria percebida tarde e não haveria visão de receita recorrente, cancelamentos ou saúde das contas (Figura 3).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3 – Fluxo AS-IS da comercialização do software</w:t>
      </w:r>
    </w:p>
    <w:p>
      <w:pPr>
        <w:keepNext/>
        <w:jc w:val="center"/>
      </w:pPr>
      <w:r>
        <w:drawing>
          <wp:inline distT="0" distB="0" distL="0" distR="0">
            <wp:extent cx="1343025" cy="4953000"/>
            <wp:effectExtent t="0" r="0" b="0" l="0"/>
            <wp:docPr id="3" name="asis-saas.png" descr="Fluxo AS-IS da comercialização do software" title="Fluxo AS-IS da comercialização do soft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</w:pPr>
      <w:bookmarkStart w:name="_Toc10" w:id="10"/>
      <w:r>
        <w:rPr>
          <w:rFonts w:ascii="Arial" w:cs="Arial" w:eastAsia="Arial" w:hAnsi="Arial"/>
        </w:rPr>
        <w:t xml:space="preserve">2.4 Processo proposto de comercialização do SaaS (TO-BE)</w:t>
      </w:r>
      <w:bookmarkEnd w:id="10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No TO-BE, a empresa é cadastrada no Console da plataforma com plano, ciclo e desconto; o sistema cria a base isolada da empresa, gera a senha provisória do responsável e pode iniciar um teste grátis. Ao ativar a cobrança automática, o Pivot Hub cria o cliente e a assinatura no Asaas, que emite as faturas por Pix, boleto ou cartão. Os pagamentos chegam por webhook e dão baixa automaticamente; uma rotina diária reconcilia pagamentos e aplica a régua de inadimplência. O console apresenta MRR, churn, NRR, CAC, LTV e a saúde de cada conta (Figura 4).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4 – Fluxo TO-BE da comercialização com console e cobrança automática</w:t>
      </w:r>
    </w:p>
    <w:p>
      <w:pPr>
        <w:keepNext/>
        <w:jc w:val="center"/>
      </w:pPr>
      <w:r>
        <w:drawing>
          <wp:inline distT="0" distB="0" distL="0" distR="0">
            <wp:extent cx="2971800" cy="6096000"/>
            <wp:effectExtent t="0" r="0" b="0" l="0"/>
            <wp:docPr id="4" name="tobe-saas.png" descr="Fluxo TO-BE da comercialização com console e cobrança automática" title="Fluxo TO-BE da comercialização com console e cobrança automát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</w:pPr>
      <w:bookmarkStart w:name="_Toc11" w:id="11"/>
      <w:r>
        <w:rPr>
          <w:rFonts w:ascii="Arial" w:cs="Arial" w:eastAsia="Arial" w:hAnsi="Arial"/>
        </w:rPr>
        <w:t xml:space="preserve">2.5 Ganhos esperados</w:t>
      </w:r>
      <w:bookmarkEnd w:id="11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Os ganhos abaixo são </w:t>
      </w:r>
      <w:r>
        <w:rPr>
          <w:rFonts w:ascii="Arial" w:cs="Arial" w:eastAsia="Arial" w:hAnsi="Arial"/>
          <w:b/>
          <w:bCs/>
        </w:rPr>
        <w:t xml:space="preserve">hipóteses a validar</w:t>
      </w:r>
      <w:r>
        <w:rPr>
          <w:rFonts w:ascii="Arial" w:cs="Arial" w:eastAsia="Arial" w:hAnsi="Arial"/>
        </w:rPr>
        <w:t xml:space="preserve"> com empresas reais após a implantação, e não resultados medidos; o próprio sistema fornece os indicadores necessários para essa validação: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Aumento da taxa de conversão de orçamentos, pelo follow-up das propostas próximas do vencimento;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Redução de OS atrasadas, pelo alerta de prazo vencido no painel e no sino de notificações;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Previsibilidade de caixa, pela receita lançada automaticamente e pelos contratos recorrentes;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Redução da inadimplência das assinaturas, pela cobrança automática com link de pagamento e régua padronizada;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Decisão baseada em dados, pelos insights ordenados por impacto financeiro ("Onde agir agora").</w:t>
      </w:r>
    </w:p>
    <w:p>
      <w:pPr>
        <w:pStyle w:val="Heading1"/>
        <w:pageBreakBefore/>
      </w:pPr>
      <w:bookmarkStart w:name="_Toc12" w:id="12"/>
      <w:r>
        <w:rPr>
          <w:rFonts w:ascii="Arial" w:cs="Arial" w:eastAsia="Arial" w:hAnsi="Arial"/>
        </w:rPr>
        <w:t xml:space="preserve">3 REQUISITOS E REGRAS DE NEGÓCIO</w:t>
      </w:r>
      <w:bookmarkEnd w:id="12"/>
    </w:p>
    <w:p>
      <w:pPr>
        <w:pStyle w:val="Heading2"/>
      </w:pPr>
      <w:bookmarkStart w:name="_Toc13" w:id="13"/>
      <w:r>
        <w:rPr>
          <w:rFonts w:ascii="Arial" w:cs="Arial" w:eastAsia="Arial" w:hAnsi="Arial"/>
        </w:rPr>
        <w:t xml:space="preserve">3.1 Atores e perfis de acesso</w:t>
      </w:r>
      <w:bookmarkEnd w:id="13"/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3 – Atores do sistema e acesso padrão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2540"/>
        <w:gridCol w:w="4717"/>
      </w:tblGrid>
      <w:tr>
        <w:trPr>
          <w:tblHeader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Ator / perfil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471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Acesso padrão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Proprietário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Dono da empresa assinante</w:t>
            </w:r>
          </w:p>
        </w:tc>
        <w:tc>
          <w:tcPr>
            <w:tcW w:type="dxa" w:w="471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Todos os módulos do plano; usuários, permissões e configurações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Operador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Atendimento e operação</w:t>
            </w:r>
          </w:p>
        </w:tc>
        <w:tc>
          <w:tcPr>
            <w:tcW w:type="dxa" w:w="471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Início, Clientes, Orçamentos, Funil, Contratos, OS, Equipamentos, Estoque, Treinamentos, Agenda, Serviços, Social Media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Financeiro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Contas e resultados</w:t>
            </w:r>
          </w:p>
        </w:tc>
        <w:tc>
          <w:tcPr>
            <w:tcW w:type="dxa" w:w="471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Início, Clientes, Contratos, Financeiro, Relatórios, Planejamento, Serviços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Técnico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Execução dos serviços</w:t>
            </w:r>
          </w:p>
        </w:tc>
        <w:tc>
          <w:tcPr>
            <w:tcW w:type="dxa" w:w="471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Início, OS, Equipamentos, Estoque, Agenda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da plataforma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Proprietário da empresa principal (fornecedor)</w:t>
            </w:r>
          </w:p>
        </w:tc>
        <w:tc>
          <w:tcPr>
            <w:tcW w:type="dxa" w:w="471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Console: visão SaaS, assinantes, planos e faturamento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Asaas (sistema externo)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Gateway de pagamentos</w:t>
            </w:r>
          </w:p>
        </w:tc>
        <w:tc>
          <w:tcPr>
            <w:tcW w:type="dxa" w:w="471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Notifica pagamentos pelo webhook autenticado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As permissões de Operador, Financeiro e Técnico podem ser ajustadas pelo Proprietário na tela de Usuários e Permissões; o acesso efetivo é sempre a interseção entre o perfil e os módulos liberados pelo plano da empresa.</w:t>
      </w:r>
    </w:p>
    <w:p>
      <w:pPr>
        <w:pStyle w:val="Heading2"/>
      </w:pPr>
      <w:bookmarkStart w:name="_Toc14" w:id="14"/>
      <w:r>
        <w:rPr>
          <w:rFonts w:ascii="Arial" w:cs="Arial" w:eastAsia="Arial" w:hAnsi="Arial"/>
        </w:rPr>
        <w:t xml:space="preserve">3.2 Requisitos funcionais</w:t>
      </w:r>
      <w:bookmarkEnd w:id="14"/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4 – Requisitos funcionais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"/>
        <w:gridCol w:w="5805"/>
        <w:gridCol w:w="1179"/>
        <w:gridCol w:w="1361"/>
      </w:tblGrid>
      <w:tr>
        <w:trPr>
          <w:tblHeader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580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Requisito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Prioridade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Módulo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RF01</w:t>
            </w:r>
          </w:p>
        </w:tc>
        <w:tc>
          <w:tcPr>
            <w:tcW w:type="dxa" w:w="580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Autenticar usuário por e-mail e senha, com sessão de 12 horas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Essencial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Login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RF02</w:t>
            </w:r>
          </w:p>
        </w:tc>
        <w:tc>
          <w:tcPr>
            <w:tcW w:type="dxa" w:w="580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Exibir painel com faturamento do mês (comparado ao mesmo período do mês anterior), meta e projeção, clientes, propostas, OS e alertas "Onde agir agora"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Essencial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Início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RF03</w:t>
            </w:r>
          </w:p>
        </w:tc>
        <w:tc>
          <w:tcPr>
            <w:tcW w:type="dxa" w:w="580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Cadastrar e consultar clientes (PF/PJ), com histórico, receita de 12 meses, risco de inatividade e sugestão de cross-sell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Essencial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Clientes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RF04</w:t>
            </w:r>
          </w:p>
        </w:tc>
        <w:tc>
          <w:tcPr>
            <w:tcW w:type="dxa" w:w="580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Emitir orçamentos a partir do catálogo, controlar validade e status, gerar proposta em PDF e converter em OS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Essencial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Orçamentos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RF05</w:t>
            </w:r>
          </w:p>
        </w:tc>
        <w:tc>
          <w:tcPr>
            <w:tcW w:type="dxa" w:w="580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Gerenciar o funil comercial em kanban (arrastar e soltar), com origem do lead e previsão ponderada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Importante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Funil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RF06</w:t>
            </w:r>
          </w:p>
        </w:tc>
        <w:tc>
          <w:tcPr>
            <w:tcW w:type="dxa" w:w="580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Gerenciar ordens de serviço com prazo, técnico, status, impressão, avaliação NPS e lançamento automático da receita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Essencial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OS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RF07</w:t>
            </w:r>
          </w:p>
        </w:tc>
        <w:tc>
          <w:tcPr>
            <w:tcW w:type="dxa" w:w="580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Cadastrar equipamentos por cliente, com garantia e histórico de OS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Importante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Equipamentos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RF08</w:t>
            </w:r>
          </w:p>
        </w:tc>
        <w:tc>
          <w:tcPr>
            <w:tcW w:type="dxa" w:w="580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Controlar estoque de peças: mínimo, cobertura, entradas (com despesa) e saídas vinculadas à OS, lista de compras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Importante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Estoque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RF09</w:t>
            </w:r>
          </w:p>
        </w:tc>
        <w:tc>
          <w:tcPr>
            <w:tcW w:type="dxa" w:w="580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Gerenciar agenda (dia/semana/mês), detectar conflitos de horário e controlar tarefas com prioridade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Essencial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Agenda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RF10</w:t>
            </w:r>
          </w:p>
        </w:tc>
        <w:tc>
          <w:tcPr>
            <w:tcW w:type="dxa" w:w="580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Gerenciar turmas de treinamento: vagas, alunos, pagamentos e ponto de equilíbrio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Desejável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Treinamentos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RF11</w:t>
            </w:r>
          </w:p>
        </w:tc>
        <w:tc>
          <w:tcPr>
            <w:tcW w:type="dxa" w:w="580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Registrar receitas e despesas, contas a receber/pagar, baixa e análise por categoria e período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Essencial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Financeiro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RF12</w:t>
            </w:r>
          </w:p>
        </w:tc>
        <w:tc>
          <w:tcPr>
            <w:tcW w:type="dxa" w:w="580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Gerenciar contratos recorrentes (MRR, renovações, churn) e gerar as cobranças do mês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Importante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Contratos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RF13</w:t>
            </w:r>
          </w:p>
        </w:tc>
        <w:tc>
          <w:tcPr>
            <w:tcW w:type="dxa" w:w="580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Emitir relatórios (DRE, fluxo de caixa, curva ABC, clientes em risco, vendas por serviço, desempenho de OS, funil) com exportação CSV e impressão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Importante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Relatórios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RF14</w:t>
            </w:r>
          </w:p>
        </w:tc>
        <w:tc>
          <w:tcPr>
            <w:tcW w:type="dxa" w:w="580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Gerenciar usuários e permissões por perfil, inclusive redefinição de senha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Essencial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Usuários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RF15</w:t>
            </w:r>
          </w:p>
        </w:tc>
        <w:tc>
          <w:tcPr>
            <w:tcW w:type="dxa" w:w="580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Calcular ponto de equilíbrio e simular cenários de preço, volume e custo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Desejável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Planejamento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RF16</w:t>
            </w:r>
          </w:p>
        </w:tc>
        <w:tc>
          <w:tcPr>
            <w:tcW w:type="dxa" w:w="580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Planejar conteúdo e medir redes sociais (alcance, engajamento, seguidores), atribuindo leads e vendas aos posts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Desejável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Social Media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RF17</w:t>
            </w:r>
          </w:p>
        </w:tc>
        <w:tc>
          <w:tcPr>
            <w:tcW w:type="dxa" w:w="580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Configurar dados da empresa e metas, exportar/restaurar backup em JSON e alterar a própria senha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Essencial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Configurações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RF18</w:t>
            </w:r>
          </w:p>
        </w:tc>
        <w:tc>
          <w:tcPr>
            <w:tcW w:type="dxa" w:w="580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Pesquisar clientes, OS, orçamentos e peças por busca global (Ctrl+K)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Importante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Transversal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RF19</w:t>
            </w:r>
          </w:p>
        </w:tc>
        <w:tc>
          <w:tcPr>
            <w:tcW w:type="dxa" w:w="580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Exibir a visão da plataforma: MRR, ARR, ARPA, churn, NRR, inadimplência, testes, CAC, LTV, payback, movimento do MRR e insights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Essencial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Console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RF20</w:t>
            </w:r>
          </w:p>
        </w:tc>
        <w:tc>
          <w:tcPr>
            <w:tcW w:type="dxa" w:w="580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Cadastrar empresas assinantes gerando base e acesso, gerenciar teste grátis, plano, status, cancelamento com motivo e saúde da conta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Essencial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Console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RF21</w:t>
            </w:r>
          </w:p>
        </w:tc>
        <w:tc>
          <w:tcPr>
            <w:tcW w:type="dxa" w:w="580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Gerenciar planos, preços e módulos, regras comerciais e simular reajuste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Essencial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Console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RF22</w:t>
            </w:r>
          </w:p>
        </w:tc>
        <w:tc>
          <w:tcPr>
            <w:tcW w:type="dxa" w:w="580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Emitir e baixar faturas da plataforma, aplicar régua de inadimplência e acompanhar adimplência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Essencial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Console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RF23</w:t>
            </w:r>
          </w:p>
        </w:tc>
        <w:tc>
          <w:tcPr>
            <w:tcW w:type="dxa" w:w="580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Cobrar automaticamente as assinaturas pelo Asaas (cliente, assinatura, faturas, webhook e reconciliação)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Essencial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Integração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RF24</w:t>
            </w:r>
          </w:p>
        </w:tc>
        <w:tc>
          <w:tcPr>
            <w:tcW w:type="dxa" w:w="580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Executar rotina diária automática de reconciliação de pagamentos e régua de inadimplência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Importante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Integração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RF25</w:t>
            </w:r>
          </w:p>
        </w:tc>
        <w:tc>
          <w:tcPr>
            <w:tcW w:type="dxa" w:w="580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 empresa assinante: bloquear módulos fora do plano com oferta de upgrade, avisar teste/atraso, exibir "Minha assinatura" e link "Pagar agora"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Essencial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Assinatura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RF26</w:t>
            </w:r>
          </w:p>
        </w:tc>
        <w:tc>
          <w:tcPr>
            <w:tcW w:type="dxa" w:w="580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Permitir recolher as seções do menu lateral, lembrando a preferência do usuário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Desejável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Interface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</w:pPr>
      <w:bookmarkStart w:name="_Toc15" w:id="15"/>
      <w:r>
        <w:rPr>
          <w:rFonts w:ascii="Arial" w:cs="Arial" w:eastAsia="Arial" w:hAnsi="Arial"/>
        </w:rPr>
        <w:t xml:space="preserve">3.3 Requisitos não funcionais</w:t>
      </w:r>
      <w:bookmarkEnd w:id="15"/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5 – Requisitos não funcionais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"/>
        <w:gridCol w:w="1361"/>
        <w:gridCol w:w="6894"/>
      </w:tblGrid>
      <w:tr>
        <w:trPr>
          <w:tblHeader/>
        </w:trPr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Categoria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RNF01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Usabilidade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Interface em português, com hierarquia visual (indicadores → alertas → detalhes) e alertas que indicam a próxima ação; todas as telas devem carregar sem erros.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RNF02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Responsividade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Funcionar em computador, tablet e celular (a partir de 360 px), com menu recolhido em botão nas telas pequenas.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RNF03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Segurança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HTTPS; senhas com PBKDF2-SHA256 (100.000 iterações, sal individual); sessão assinada com HMAC-SHA256 e validade de 12 h; chaves como secrets; webhook autenticado por token.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RNF04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Isolamento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Toda leitura e gravação filtrada pela empresa (tenant) do token; nenhuma empresa acessa dados de outra.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RNF05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Disponibilidade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Infraestrutura serverless distribuída (Cloudflare), com meta contratual de 99% ao mês.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RNF06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Desempenho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Login até o painel em menos de 3 s; aplicação em arquivo único de cerca de 1 MB (285 KB compactado).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RNF07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Manutenibilidade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Código em TypeScript tipado; migração automática de bases criadas em versões anteriores, sem perda de dados.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RNF08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Portabilidade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Modo local sem servidor (dados no navegador) e publicação como arquivo único index.html.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RNF09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Privacidade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Conformidade com a LGPD: papéis de controlador/operador, exportação dos dados e eliminação após o término do contrato.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RNF10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Implantação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Publicação contínua: cada atualização da branch principal no GitHub é implantada automaticamente (Workers Builds).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</w:pPr>
      <w:bookmarkStart w:name="_Toc16" w:id="16"/>
      <w:r>
        <w:rPr>
          <w:rFonts w:ascii="Arial" w:cs="Arial" w:eastAsia="Arial" w:hAnsi="Arial"/>
        </w:rPr>
        <w:t xml:space="preserve">3.4 Regras de negócio</w:t>
      </w:r>
      <w:bookmarkEnd w:id="16"/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6 – Regras de negócio implementadas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"/>
        <w:gridCol w:w="8255"/>
      </w:tblGrid>
      <w:tr>
        <w:trPr>
          <w:tblHeader/>
        </w:trPr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825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Regra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RN01</w:t>
            </w:r>
          </w:p>
        </w:tc>
        <w:tc>
          <w:tcPr>
            <w:tcW w:type="dxa" w:w="825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 empresa assinante possui base própria (tenant); a empresa "principal" é a do fornecedor e tem acesso a todos os módulos.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RN02</w:t>
            </w:r>
          </w:p>
        </w:tc>
        <w:tc>
          <w:tcPr>
            <w:tcW w:type="dxa" w:w="825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Um módulo só fica disponível se fizer parte do plano ou tiver sido contratado como avulso; Início, Usuários e Configurações são essenciais e incluídos em todos os planos.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RN03</w:t>
            </w:r>
          </w:p>
        </w:tc>
        <w:tc>
          <w:tcPr>
            <w:tcW w:type="dxa" w:w="825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Ao cadastrar uma empresa, o responsável é criado como Proprietário com senha provisória aleatória de 10 caracteres, exibida uma única vez.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RN04</w:t>
            </w:r>
          </w:p>
        </w:tc>
        <w:tc>
          <w:tcPr>
            <w:tcW w:type="dxa" w:w="825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Usuários ativos ≤ usuários do plano + usuários extras (Básico 2, Intermediário 5, Completo 10).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RN05</w:t>
            </w:r>
          </w:p>
        </w:tc>
        <w:tc>
          <w:tcPr>
            <w:tcW w:type="dxa" w:w="825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e-mail de login é único em toda a plataforma.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RN06</w:t>
            </w:r>
          </w:p>
        </w:tc>
        <w:tc>
          <w:tcPr>
            <w:tcW w:type="dxa" w:w="825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console da plataforma é exclusivo do Proprietário da empresa principal.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RN07</w:t>
            </w:r>
          </w:p>
        </w:tc>
        <w:tc>
          <w:tcPr>
            <w:tcW w:type="dxa" w:w="825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acesso da empresa é bloqueado se a assinatura estiver Suspensa, Cancelada ou em teste grátis vencido.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RN08</w:t>
            </w:r>
          </w:p>
        </w:tc>
        <w:tc>
          <w:tcPr>
            <w:tcW w:type="dxa" w:w="825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Régua de inadimplência: atraso acima da tolerância (padrão 10 dias) → Inadimplente; acima de 3 × a tolerância (30 dias) → Suspensa; pagamento confirmado → Ativa.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RN09</w:t>
            </w:r>
          </w:p>
        </w:tc>
        <w:tc>
          <w:tcPr>
            <w:tcW w:type="dxa" w:w="825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 perfil acessa apenas os módulos permitidos; receitas originadas de OS, contratos e turmas podem ser lançadas por quem opera esses módulos.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RN10</w:t>
            </w:r>
          </w:p>
        </w:tc>
        <w:tc>
          <w:tcPr>
            <w:tcW w:type="dxa" w:w="825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Mensalidade = preço do plano × (1 − desconto anual, se ciclo anual) + usuários extras × preço do extra + módulos avulsos × R$ 39, aplicado o desconto negociado.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RN11</w:t>
            </w:r>
          </w:p>
        </w:tc>
        <w:tc>
          <w:tcPr>
            <w:tcW w:type="dxa" w:w="825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cobrança automática exige CPF ou CNPJ com dígitos verificadores válidos.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RN12</w:t>
            </w:r>
          </w:p>
        </w:tc>
        <w:tc>
          <w:tcPr>
            <w:tcW w:type="dxa" w:w="825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Mudanças de plano, extras ou desconto atualizam a assinatura no Asaas, inclusive cobranças pendentes; o cancelamento da empresa encerra a assinatura no gateway.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RN13</w:t>
            </w:r>
          </w:p>
        </w:tc>
        <w:tc>
          <w:tcPr>
            <w:tcW w:type="dxa" w:w="825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webhook só é aceito com o token configurado; cada evento é processado uma única vez (idempotência); pagamento confirmado converte o teste e regulariza a conta.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RN14</w:t>
            </w:r>
          </w:p>
        </w:tc>
        <w:tc>
          <w:tcPr>
            <w:tcW w:type="dxa" w:w="825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Bases antigas (marca TechGest) são migradas automaticamente; o login aceita o novo domínio de e-mail enquanto a migração não ocorre.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RN15</w:t>
            </w:r>
          </w:p>
        </w:tc>
        <w:tc>
          <w:tcPr>
            <w:tcW w:type="dxa" w:w="825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OS finalizada gera receita no financeiro e permite avaliação de 0 a 10 (NPS); notas até 6 são detratores.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RN16</w:t>
            </w:r>
          </w:p>
        </w:tc>
        <w:tc>
          <w:tcPr>
            <w:tcW w:type="dxa" w:w="825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Orçamento aprovado é convertido em OS; propostas que vencem em até N dias (padrão 5) geram alerta.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RN17</w:t>
            </w:r>
          </w:p>
        </w:tc>
        <w:tc>
          <w:tcPr>
            <w:tcW w:type="dxa" w:w="825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Cliente sem compra há mais de 90 dias é classificado como em risco.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RN18</w:t>
            </w:r>
          </w:p>
        </w:tc>
        <w:tc>
          <w:tcPr>
            <w:tcW w:type="dxa" w:w="825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Peça abaixo do mínimo gera alerta e entra na lista de compras; entrada de estoque gera despesa.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RN19</w:t>
            </w:r>
          </w:p>
        </w:tc>
        <w:tc>
          <w:tcPr>
            <w:tcW w:type="dxa" w:w="825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alerta de meta só é exibido a partir do 7º dia do mês e quando há histórico de vendas.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RN20</w:t>
            </w:r>
          </w:p>
        </w:tc>
        <w:tc>
          <w:tcPr>
            <w:tcW w:type="dxa" w:w="825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Saúde da conta = acesso recente (40) + adoção dos módulos contratados (30) + pagamento em dia (30); ≥ 70 Saudável, 40–69 Atenção, &lt; 40 Risco.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RN21</w:t>
            </w:r>
          </w:p>
        </w:tc>
        <w:tc>
          <w:tcPr>
            <w:tcW w:type="dxa" w:w="825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1º vencimento da assinatura é o próximo dia de vencimento contratado; em teste grátis, após o fim do teste.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RN22</w:t>
            </w:r>
          </w:p>
        </w:tc>
        <w:tc>
          <w:tcPr>
            <w:tcW w:type="dxa" w:w="825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ciclo anual concede desconto de fidelidade (padrão 15%) cobrado mensalmente.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1"/>
        <w:pageBreakBefore/>
      </w:pPr>
      <w:bookmarkStart w:name="_Toc17" w:id="17"/>
      <w:r>
        <w:rPr>
          <w:rFonts w:ascii="Arial" w:cs="Arial" w:eastAsia="Arial" w:hAnsi="Arial"/>
        </w:rPr>
        <w:t xml:space="preserve">4 MODELAGEM DO BANCO DE DADOS</w:t>
      </w:r>
      <w:bookmarkEnd w:id="17"/>
    </w:p>
    <w:p>
      <w:pPr>
        <w:pStyle w:val="Heading2"/>
      </w:pPr>
      <w:bookmarkStart w:name="_Toc18" w:id="18"/>
      <w:r>
        <w:rPr>
          <w:rFonts w:ascii="Arial" w:cs="Arial" w:eastAsia="Arial" w:hAnsi="Arial"/>
        </w:rPr>
        <w:t xml:space="preserve">4.1 Abordagem adotada</w:t>
      </w:r>
      <w:bookmarkEnd w:id="18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O banco de dados é o Cloudflare D1, baseado em SQLite. Optou-se por um modelo </w:t>
      </w:r>
      <w:r>
        <w:rPr>
          <w:rFonts w:ascii="Arial" w:cs="Arial" w:eastAsia="Arial" w:hAnsi="Arial"/>
          <w:b/>
          <w:bCs/>
        </w:rPr>
        <w:t xml:space="preserve">documento-relacional</w:t>
      </w:r>
      <w:r>
        <w:rPr>
          <w:rFonts w:ascii="Arial" w:cs="Arial" w:eastAsia="Arial" w:hAnsi="Arial"/>
        </w:rPr>
        <w:t xml:space="preserve">: uma tabela genérica armazena os registros de todas as coleções em JSON, identificados por empresa (tenant), coleção e id. Essa escolha traz três vantagens para um SaaS em evolução: (1) novos campos e módulos não exigem migração de esquema; (2) o isolamento multiempresa é garantido por uma única chave (tenant) presente em todas as consultas; e (3) backup e restauração de uma empresa são uma operação simples. Como contrapartida, a integridade referencial (por exemplo, ordem de serviço → cliente) é garantida pela aplicação e pela API, e não por chaves estrangeiras do banco.</w:t>
      </w:r>
    </w:p>
    <w:p>
      <w:pPr>
        <w:pStyle w:val="Heading2"/>
      </w:pPr>
      <w:bookmarkStart w:name="_Toc19" w:id="19"/>
      <w:r>
        <w:rPr>
          <w:rFonts w:ascii="Arial" w:cs="Arial" w:eastAsia="Arial" w:hAnsi="Arial"/>
        </w:rPr>
        <w:t xml:space="preserve">4.2 Modelo físico</w:t>
      </w:r>
      <w:bookmarkEnd w:id="19"/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5 – DER físico (tabelas do D1)</w:t>
      </w:r>
    </w:p>
    <w:p>
      <w:pPr>
        <w:keepNext/>
        <w:jc w:val="center"/>
      </w:pPr>
      <w:r>
        <w:drawing>
          <wp:inline distT="0" distB="0" distL="0" distR="0">
            <wp:extent cx="4476750" cy="4267200"/>
            <wp:effectExtent t="0" r="0" b="0" l="0"/>
            <wp:docPr id="5" name="der-fisico.png" descr="DER físico (tabelas do D1)" title="DER físico (tabelas do D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7 – Dicionário de dados – modelo físico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8"/>
        <w:gridCol w:w="998"/>
        <w:gridCol w:w="726"/>
        <w:gridCol w:w="635"/>
        <w:gridCol w:w="5714"/>
      </w:tblGrid>
      <w:tr>
        <w:trPr>
          <w:tblHeader/>
        </w:trPr>
        <w:tc>
          <w:tcPr>
            <w:tcW w:type="dxa" w:w="99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Tabela</w:t>
            </w:r>
          </w:p>
        </w:tc>
        <w:tc>
          <w:tcPr>
            <w:tcW w:type="dxa" w:w="99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Coluna</w:t>
            </w:r>
          </w:p>
        </w:tc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Chave</w:t>
            </w:r>
          </w:p>
        </w:tc>
        <w:tc>
          <w:tcPr>
            <w:tcW w:type="dxa" w:w="57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99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dados</w:t>
            </w:r>
          </w:p>
        </w:tc>
        <w:tc>
          <w:tcPr>
            <w:tcW w:type="dxa" w:w="99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tenant</w:t>
            </w:r>
          </w:p>
        </w:tc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57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Empresa dona do registro ("principal", id do assinante ou "_plataforma")</w:t>
            </w:r>
          </w:p>
        </w:tc>
      </w:tr>
      <w:tr>
        <w:trPr>
          <w:cantSplit/>
        </w:trPr>
        <w:tc>
          <w:tcPr>
            <w:tcW w:type="dxa" w:w="99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dados</w:t>
            </w:r>
          </w:p>
        </w:tc>
        <w:tc>
          <w:tcPr>
            <w:tcW w:type="dxa" w:w="99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</w:t>
            </w:r>
          </w:p>
        </w:tc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57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Coleção: clientes, orcamentos, ordens, lancamentos, planos, assinantes, faturas…</w:t>
            </w:r>
          </w:p>
        </w:tc>
      </w:tr>
      <w:tr>
        <w:trPr>
          <w:cantSplit/>
        </w:trPr>
        <w:tc>
          <w:tcPr>
            <w:tcW w:type="dxa" w:w="99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dados</w:t>
            </w:r>
          </w:p>
        </w:tc>
        <w:tc>
          <w:tcPr>
            <w:tcW w:type="dxa" w:w="99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57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Identificador do registro na coleção</w:t>
            </w:r>
          </w:p>
        </w:tc>
      </w:tr>
      <w:tr>
        <w:trPr>
          <w:cantSplit/>
        </w:trPr>
        <w:tc>
          <w:tcPr>
            <w:tcW w:type="dxa" w:w="99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dados</w:t>
            </w:r>
          </w:p>
        </w:tc>
        <w:tc>
          <w:tcPr>
            <w:tcW w:type="dxa" w:w="99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</w:t>
            </w:r>
          </w:p>
        </w:tc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7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Registro completo em JSON (ver modelo lógico)</w:t>
            </w:r>
          </w:p>
        </w:tc>
      </w:tr>
      <w:tr>
        <w:trPr>
          <w:cantSplit/>
        </w:trPr>
        <w:tc>
          <w:tcPr>
            <w:tcW w:type="dxa" w:w="99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dados</w:t>
            </w:r>
          </w:p>
        </w:tc>
        <w:tc>
          <w:tcPr>
            <w:tcW w:type="dxa" w:w="99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7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Data/hora da última gravação (ISO 8601)</w:t>
            </w:r>
          </w:p>
        </w:tc>
      </w:tr>
      <w:tr>
        <w:trPr>
          <w:cantSplit/>
        </w:trPr>
        <w:tc>
          <w:tcPr>
            <w:tcW w:type="dxa" w:w="99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ajustes</w:t>
            </w:r>
          </w:p>
        </w:tc>
        <w:tc>
          <w:tcPr>
            <w:tcW w:type="dxa" w:w="99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tenant</w:t>
            </w:r>
          </w:p>
        </w:tc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57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Empresa</w:t>
            </w:r>
          </w:p>
        </w:tc>
      </w:tr>
      <w:tr>
        <w:trPr>
          <w:cantSplit/>
        </w:trPr>
        <w:tc>
          <w:tcPr>
            <w:tcW w:type="dxa" w:w="99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ajustes</w:t>
            </w:r>
          </w:p>
        </w:tc>
        <w:tc>
          <w:tcPr>
            <w:tcW w:type="dxa" w:w="99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</w:t>
            </w:r>
          </w:p>
        </w:tc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57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"permissoes" (módulos por perfil) ou "empresa" (dados e metas)</w:t>
            </w:r>
          </w:p>
        </w:tc>
      </w:tr>
      <w:tr>
        <w:trPr>
          <w:cantSplit/>
        </w:trPr>
        <w:tc>
          <w:tcPr>
            <w:tcW w:type="dxa" w:w="99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ajustes</w:t>
            </w:r>
          </w:p>
        </w:tc>
        <w:tc>
          <w:tcPr>
            <w:tcW w:type="dxa" w:w="99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</w:t>
            </w:r>
          </w:p>
        </w:tc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7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Configuração em JSON</w:t>
            </w:r>
          </w:p>
        </w:tc>
      </w:tr>
      <w:tr>
        <w:trPr>
          <w:cantSplit/>
        </w:trPr>
        <w:tc>
          <w:tcPr>
            <w:tcW w:type="dxa" w:w="99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senhas</w:t>
            </w:r>
          </w:p>
        </w:tc>
        <w:tc>
          <w:tcPr>
            <w:tcW w:type="dxa" w:w="99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tenant</w:t>
            </w:r>
          </w:p>
        </w:tc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57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Empresa do usuário</w:t>
            </w:r>
          </w:p>
        </w:tc>
      </w:tr>
      <w:tr>
        <w:trPr>
          <w:cantSplit/>
        </w:trPr>
        <w:tc>
          <w:tcPr>
            <w:tcW w:type="dxa" w:w="99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senhas</w:t>
            </w:r>
          </w:p>
        </w:tc>
        <w:tc>
          <w:tcPr>
            <w:tcW w:type="dxa" w:w="99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user_id</w:t>
            </w:r>
          </w:p>
        </w:tc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57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do usuário (coleção usuarios)</w:t>
            </w:r>
          </w:p>
        </w:tc>
      </w:tr>
      <w:tr>
        <w:trPr>
          <w:cantSplit/>
        </w:trPr>
        <w:tc>
          <w:tcPr>
            <w:tcW w:type="dxa" w:w="99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senhas</w:t>
            </w:r>
          </w:p>
        </w:tc>
        <w:tc>
          <w:tcPr>
            <w:tcW w:type="dxa" w:w="99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salt</w:t>
            </w:r>
          </w:p>
        </w:tc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7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 aleatório de 16 bytes (base64)</w:t>
            </w:r>
          </w:p>
        </w:tc>
      </w:tr>
      <w:tr>
        <w:trPr>
          <w:cantSplit/>
        </w:trPr>
        <w:tc>
          <w:tcPr>
            <w:tcW w:type="dxa" w:w="99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senhas</w:t>
            </w:r>
          </w:p>
        </w:tc>
        <w:tc>
          <w:tcPr>
            <w:tcW w:type="dxa" w:w="99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hash</w:t>
            </w:r>
          </w:p>
        </w:tc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7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PBKDF2-SHA256, 100.000 iterações (base64); a senha nunca é armazenada</w:t>
            </w:r>
          </w:p>
        </w:tc>
      </w:tr>
      <w:tr>
        <w:trPr>
          <w:cantSplit/>
        </w:trPr>
        <w:tc>
          <w:tcPr>
            <w:tcW w:type="dxa" w:w="99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secrets</w:t>
            </w:r>
          </w:p>
        </w:tc>
        <w:tc>
          <w:tcPr>
            <w:tcW w:type="dxa" w:w="99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</w:t>
            </w:r>
          </w:p>
        </w:tc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57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"auth" (chave das sessões), "asaas_webhook", marcadores de migração e da rotina</w:t>
            </w:r>
          </w:p>
        </w:tc>
      </w:tr>
      <w:tr>
        <w:trPr>
          <w:cantSplit/>
        </w:trPr>
        <w:tc>
          <w:tcPr>
            <w:tcW w:type="dxa" w:w="99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secrets</w:t>
            </w:r>
          </w:p>
        </w:tc>
        <w:tc>
          <w:tcPr>
            <w:tcW w:type="dxa" w:w="99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value</w:t>
            </w:r>
          </w:p>
        </w:tc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7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Valor; nunca exposto pela API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</w:pPr>
      <w:bookmarkStart w:name="_Toc20" w:id="20"/>
      <w:r>
        <w:rPr>
          <w:rFonts w:ascii="Arial" w:cs="Arial" w:eastAsia="Arial" w:hAnsi="Arial"/>
        </w:rPr>
        <w:t xml:space="preserve">4.3 Modelo lógico</w:t>
      </w:r>
      <w:bookmarkEnd w:id="20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O modelo lógico descreve as entidades armazenadas em JSON na coluna </w:t>
      </w:r>
      <w:r>
        <w:rPr>
          <w:rFonts w:ascii="Arial" w:cs="Arial" w:eastAsia="Arial" w:hAnsi="Arial"/>
          <w:i/>
          <w:iCs/>
        </w:rPr>
        <w:t xml:space="preserve">data</w:t>
      </w:r>
      <w:r>
        <w:rPr>
          <w:rFonts w:ascii="Arial" w:cs="Arial" w:eastAsia="Arial" w:hAnsi="Arial"/>
        </w:rPr>
        <w:t xml:space="preserve">. A Figura 6 mostra as entidades da operação de cada empresa e a Figura 7 as entidades da plataforma SaaS, guardadas no tenant reservado "_plataforma".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6 – DER lógico – operação da empresa assinante</w:t>
      </w:r>
    </w:p>
    <w:p>
      <w:pPr>
        <w:keepNext/>
        <w:jc w:val="center"/>
      </w:pPr>
      <w:r>
        <w:drawing>
          <wp:inline distT="0" distB="0" distL="0" distR="0">
            <wp:extent cx="5715000" cy="2305050"/>
            <wp:effectExtent t="0" r="0" b="0" l="0"/>
            <wp:docPr id="6" name="der-operacao.png" descr="DER lógico – operação da empresa assinante" title="DER lógico – operação da empresa assina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7 – DER lógico – plataforma SaaS</w:t>
      </w:r>
    </w:p>
    <w:p>
      <w:pPr>
        <w:keepNext/>
        <w:jc w:val="center"/>
      </w:pPr>
      <w:r>
        <w:drawing>
          <wp:inline distT="0" distB="0" distL="0" distR="0">
            <wp:extent cx="5334000" cy="4305300"/>
            <wp:effectExtent t="0" r="0" b="0" l="0"/>
            <wp:docPr id="7" name="der-plataforma.png" descr="DER lógico – plataforma SaaS" title="DER lógico – plataforma Sa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</w:pPr>
      <w:bookmarkStart w:name="_Toc21" w:id="21"/>
      <w:r>
        <w:rPr>
          <w:rFonts w:ascii="Arial" w:cs="Arial" w:eastAsia="Arial" w:hAnsi="Arial"/>
        </w:rPr>
        <w:t xml:space="preserve">4.4 Dicionário de dados</w:t>
      </w:r>
      <w:bookmarkEnd w:id="21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Os quadros a seguir detalham os campos de cada entidade. Na coluna "Obr." indica-se se o campo é obrigatório (S) ou opcional (N). Datas usam o formato ISO 8601 (aaaa-mm-dd) e valores monetários são números em reais.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8 – Dicionário de dados – Cliente (clientes)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1542"/>
        <w:gridCol w:w="635"/>
        <w:gridCol w:w="3810"/>
      </w:tblGrid>
      <w:tr>
        <w:trPr>
          <w:tblHeader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Obr.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texto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Identificador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nome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texto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Nome ou razão social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tipo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enum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Pessoa Física | Pessoa Jurídica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documento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texto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CPF ou CNPJ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telefone, email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texto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Contatos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endereco, cidade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texto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Localização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status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enum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Ativo | Inativo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criadoEm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de cadastro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observacoes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texto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Anotações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9 – Dicionário de dados – Orçamento (orcamentos)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1542"/>
        <w:gridCol w:w="635"/>
        <w:gridCol w:w="3810"/>
      </w:tblGrid>
      <w:tr>
        <w:trPr>
          <w:tblHeader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Obr.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id, numero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texto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Identificador e número (OR-000)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clienteId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texto (FK)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Cliente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servico, categoria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texto/enum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Serviço e categoria (Treinamento, Manutenção, Desenvolvimento Web, Implantação, Consultoria)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valor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número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Valor proposto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criadoEm, validade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Emissão e validade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status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enum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Orçamento | Em análise | Proposta enviada | Convertido | Recusado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descricao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texto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Escopo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10 – Dicionário de dados – Oportunidade (oportunidades)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1542"/>
        <w:gridCol w:w="635"/>
        <w:gridCol w:w="3810"/>
      </w:tblGrid>
      <w:tr>
        <w:trPr>
          <w:tblHeader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Obr.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id, titulo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texto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Identificador e nome do lead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servico, valor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texto/número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Interesse e valor estimado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etapa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enum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Leads | Em contato | Proposta | Negociação | Fechados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clienteId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texto (FK)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Cliente vinculado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origem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enum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Instagram, Facebook, LinkedIn, WhatsApp, TikTok, Google, Site, Indicação, Cliente da base, Outros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postId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texto (FK)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 que gerou o contato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criadoEm, atualizadoEm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Datas de controle (oportunidades paradas)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11 – Dicionário de dados – Ordem de serviço (ordens)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1542"/>
        <w:gridCol w:w="635"/>
        <w:gridCol w:w="3810"/>
      </w:tblGrid>
      <w:tr>
        <w:trPr>
          <w:tblHeader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Obr.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id, numero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texto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Identificador e número (OS-000)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clienteId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texto (FK)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Cliente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servico, categoria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texto/enum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Serviço executado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abertura, prazo, conclusao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S/S/N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Datas do ciclo da OS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status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enum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Aberta | Em andamento | Aguardando peças | Finalizada | Cancelada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valor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número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Valor do serviço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equipamentoId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texto (FK)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Equipamento atendido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tecnico, descricao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texto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Responsável e laudo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avaliacao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número 0–10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Nota NPS do cliente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12 – Dicionário de dados – Equipamento (equipamentos)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1542"/>
        <w:gridCol w:w="635"/>
        <w:gridCol w:w="3810"/>
      </w:tblGrid>
      <w:tr>
        <w:trPr>
          <w:tblHeader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Obr.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id, nome, marca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texto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Identificação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tipo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enum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Notebook | Computador | Impressora | Servidor | Rede | Outro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numeroSerie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texto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Número de série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clienteId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texto (FK)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Proprietário do equipamento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status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enum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Em uso | Em manutenção | Inativo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dataAquisicao, garantiaMeses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data/número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Base do cálculo de garantia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13 – Dicionário de dados – Lançamento financeiro (lancamentos)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1542"/>
        <w:gridCol w:w="635"/>
        <w:gridCol w:w="3810"/>
      </w:tblGrid>
      <w:tr>
        <w:trPr>
          <w:tblHeader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Obr.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id, descricao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texto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Identificação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tipo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enum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Receita | Despesa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categoria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texto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Categoria do serviço (receita) ou da despesa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valor, data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número/data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Valor e competência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status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enum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Pago | Pendente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clienteId, osId, contratoId, turmaId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texto (FK)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Origem do lançamento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14 – Dicionário de dados – Serviço (servicos)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1542"/>
        <w:gridCol w:w="635"/>
        <w:gridCol w:w="3810"/>
      </w:tblGrid>
      <w:tr>
        <w:trPr>
          <w:tblHeader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Obr.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id, nome, categoria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texto/enum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Item do catálogo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preco, custo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número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Preço de tabela e custo direto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duracaoHoras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número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Horas estimadas (lucro por hora)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ativo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booleano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Disponível nos orçamentos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15 – Dicionário de dados – Peça e movimento (pecas, movimentos)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1542"/>
        <w:gridCol w:w="635"/>
        <w:gridCol w:w="3810"/>
      </w:tblGrid>
      <w:tr>
        <w:trPr>
          <w:tblHeader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Obr.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pecas: id, nome, sku, categoria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texto/enum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Identificação da peça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pecas: quantidade, minimo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número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Saldo e estoque mínimo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pecas: custoUnit, precoVenda, fornecedor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número/texto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S/S/N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Custos e fornecedor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movimentos: pecaId, tipo, quantidade, data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FK/enum/número/data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Entrada ou Saída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movimentos: osId, custoUnit, obs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FK/número/texto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OS que consumiu a peça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16 – Dicionário de dados – Contrato recorrente (contratos)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1542"/>
        <w:gridCol w:w="635"/>
        <w:gridCol w:w="3810"/>
      </w:tblGrid>
      <w:tr>
        <w:trPr>
          <w:tblHeader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Obr.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id, clienteId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texto (FK)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Cliente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tipo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enum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Suporte mensal | Hospedagem de site | Manutenção preventiva | Domínio e e-mail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valorMensal, diaVencimento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número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Mensalidade e vencimento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inicio, renovacao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Vigência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status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enum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Ativo | Suspenso | Cancelado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ultimaCobranca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aaaa-mm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Último mês cobrado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17 – Dicionário de dados – Agenda (compromissos, tarefas)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1542"/>
        <w:gridCol w:w="635"/>
        <w:gridCol w:w="3810"/>
      </w:tblGrid>
      <w:tr>
        <w:trPr>
          <w:tblHeader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Obr.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compromissos: titulo, tipo, data, inicio, fim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texto/enum/data/hora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Treinamento | Manutenção | Reunião | Atendimento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compromissos: clienteId, local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FK/texto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Cliente e local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tarefas: titulo, data, concluida, prioridade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texto/data/bool/enum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Prioridade Alta | Média | Baixa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18 – Dicionário de dados – Turma (turmas)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1542"/>
        <w:gridCol w:w="635"/>
        <w:gridCol w:w="3810"/>
      </w:tblGrid>
      <w:tr>
        <w:trPr>
          <w:tblHeader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Obr.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id, curso, horario, local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texto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Identificação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inicio, fim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Período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vagas, precoAluno, custoTurma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número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Base do ponto de equilíbrio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status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enum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Inscrições abertas | Em andamento | Concluída | Cancelada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alunos[]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lista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nome, clienteId (N), pago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19 – Dicionário de dados – Social media (posts, seguidores)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1542"/>
        <w:gridCol w:w="635"/>
        <w:gridCol w:w="3810"/>
      </w:tblGrid>
      <w:tr>
        <w:trPr>
          <w:tblHeader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Obr.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posts: titulo, rede, formato, pilar, data, status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texto/enum/data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Planejamento editorial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posts: investimento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número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Impulsionamento pago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posts: alcance, impressoes, curtidas, comentarios, compartilhamentos, salvamentos, cliques, mensagens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número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Métricas após publicar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seguidores: rede, mes, seguidores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enum/aaaa-mm/número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Evolução mensal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20 – Dicionário de dados – Usuário (usuarios) e Empresa (ajustes)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1542"/>
        <w:gridCol w:w="635"/>
        <w:gridCol w:w="3810"/>
      </w:tblGrid>
      <w:tr>
        <w:trPr>
          <w:tblHeader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Obr.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usuarios: id, nome, email, perfil, status, ultimoAcesso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texto/enum/data-hora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Perfil: Proprietário | Operador | Financeiro | Técnico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empresa: nome, cnpj, telefone, email, endereco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texto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Dados cadastrais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empresa: metaMensal, diasAlertaOrcamento, metaPostsSemana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número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Metas e parâmetros de alerta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empresa: versaoDados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número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Versão do formato (migração automática)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21 – Dicionário de dados – Plano (_plataforma/planos)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1542"/>
        <w:gridCol w:w="635"/>
        <w:gridCol w:w="3810"/>
      </w:tblGrid>
      <w:tr>
        <w:trPr>
          <w:tblHeader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Obr.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id, nome, descricao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texto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Identificação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precoMensal, descontoAnual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número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Preço e desconto da fidelidade (fração)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maxUsuarios, precoUsuarioExtra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número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Limite e preço do usuário extra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modulos[]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lista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Módulos liberados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ativo, destaque, ordem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bool/número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S/N/S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Venda, recomendação e posição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22 – Dicionário de dados – Assinante (_plataforma/assinantes)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1542"/>
        <w:gridCol w:w="635"/>
        <w:gridCol w:w="3810"/>
      </w:tblGrid>
      <w:tr>
        <w:trPr>
          <w:tblHeader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Obr.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texto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Também é o tenant da base da empresa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empresa, cnpj, segmento, cidade, responsavel, email, telefone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texto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Cadastro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origem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enum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Canal de aquisição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planoId, ciclo, status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FK/enum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Mensal | Anual; Trial | Ativa | Inadimplente | Suspensa | Cancelada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inicio, trialFim, convertidoEm, fimFidelidade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S/N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Marcos da assinatura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diaVencimento, usuariosExtras, modulosExtras, descontoPct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número/lista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Condições comerciais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canceladoEm, motivoCancelamento, valorNoCancelamento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data/texto/número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Análise de churn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cobranca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objeto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Asaas: ativa, forma, clienteId, assinaturaId, valor, proximoVencimento, erro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historico[]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lista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Eventos: data, tipo, detalhe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23 – Dicionário de dados – Fatura e configuração (_plataforma)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1542"/>
        <w:gridCol w:w="635"/>
        <w:gridCol w:w="3810"/>
      </w:tblGrid>
      <w:tr>
        <w:trPr>
          <w:tblHeader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Obr.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faturas: id, assinanteId, competencia, vencimento, valor, planoId, status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texto/data/número/enum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Paga | Em aberto | Cancelada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faturas: pagoEm, asaasId, link, forma, valorLiquido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data/texto/número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Dados da cobrança no Asaas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config: precoModuloAvulso, diasTrial, diasTolerancia, investimentoAquisicaoMes, reguaAutomatica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número/bool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Regras comerciais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asaas_eventos: id, evento, pagamento, resultado, recebidoEm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texto/data-hora</w:t>
            </w:r>
          </w:p>
        </w:tc>
        <w:tc>
          <w:tcPr>
            <w:tcW w:type="dxa" w:w="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Registro idempotente dos webhooks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1"/>
        <w:pageBreakBefore/>
      </w:pPr>
      <w:bookmarkStart w:name="_Toc22" w:id="22"/>
      <w:r>
        <w:rPr>
          <w:rFonts w:ascii="Arial" w:cs="Arial" w:eastAsia="Arial" w:hAnsi="Arial"/>
        </w:rPr>
        <w:t xml:space="preserve">5 DIAGRAMAS E FLUXOGRAMAS</w:t>
      </w:r>
      <w:bookmarkEnd w:id="22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Esta seção reúne os diagramas que descrevem o comportamento do sistema. Os fluxos de processo (AS-IS e TO-BE) e os diagramas entidade-relacionamento já foram apresentados nos capítulos 2 e 4.</w:t>
      </w:r>
    </w:p>
    <w:p>
      <w:pPr>
        <w:pStyle w:val="Heading2"/>
      </w:pPr>
      <w:bookmarkStart w:name="_Toc23" w:id="23"/>
      <w:r>
        <w:rPr>
          <w:rFonts w:ascii="Arial" w:cs="Arial" w:eastAsia="Arial" w:hAnsi="Arial"/>
        </w:rPr>
        <w:t xml:space="preserve">5.1 Diagrama de casos de uso</w:t>
      </w:r>
      <w:bookmarkEnd w:id="23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Os casos de uso estão agrupados por área de negócio. O Proprietário acessa as quatro áreas da empresa; Operador, Técnico e Financeiro acessam as áreas do seu perfil; o Admin da plataforma usa o Console; e o Asaas, como sistema externo, notifica pagamentos.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8 – Diagrama de casos de uso</w:t>
      </w:r>
    </w:p>
    <w:p>
      <w:pPr>
        <w:keepNext/>
        <w:jc w:val="center"/>
      </w:pPr>
      <w:r>
        <w:drawing>
          <wp:inline distT="0" distB="0" distL="0" distR="0">
            <wp:extent cx="5715000" cy="2828925"/>
            <wp:effectExtent t="0" r="0" b="0" l="0"/>
            <wp:docPr id="8" name="casos-de-uso.png" descr="Diagrama de casos de uso" title="Diagrama de casos de u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</w:pPr>
      <w:bookmarkStart w:name="_Toc24" w:id="24"/>
      <w:r>
        <w:rPr>
          <w:rFonts w:ascii="Arial" w:cs="Arial" w:eastAsia="Arial" w:hAnsi="Arial"/>
        </w:rPr>
        <w:t xml:space="preserve">5.2 Arquitetura da solução</w:t>
      </w:r>
      <w:bookmarkEnd w:id="24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A aplicação é uma SPA (Single Page Application) em React servida como arquivo estático pela Cloudflare. As chamadas de dados vão para um Worker, que concentra autenticação, regras de plano e de perfil, isolamento multiempresa e a integração com o Asaas, persistindo no D1. Um Cron Trigger executa a rotina diária e o deploy é automático a partir do GitHub.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9 – Arquitetura da solução</w:t>
      </w:r>
    </w:p>
    <w:p>
      <w:pPr>
        <w:keepNext/>
        <w:jc w:val="center"/>
      </w:pPr>
      <w:r>
        <w:drawing>
          <wp:inline distT="0" distB="0" distL="0" distR="0">
            <wp:extent cx="5715000" cy="3019425"/>
            <wp:effectExtent t="0" r="0" b="0" l="0"/>
            <wp:docPr id="9" name="arquitetura.png" descr="Arquitetura da solução" title="Arquitetura da solu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</w:pPr>
      <w:bookmarkStart w:name="_Toc25" w:id="25"/>
      <w:r>
        <w:rPr>
          <w:rFonts w:ascii="Arial" w:cs="Arial" w:eastAsia="Arial" w:hAnsi="Arial"/>
        </w:rPr>
        <w:t xml:space="preserve">5.3 Diagrama de sequência – login e autorização</w:t>
      </w:r>
      <w:bookmarkEnd w:id="25"/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10 – Sequência de login, verificação da assinatura e carga dos dados</w:t>
      </w:r>
    </w:p>
    <w:p>
      <w:pPr>
        <w:keepNext/>
        <w:jc w:val="center"/>
      </w:pPr>
      <w:r>
        <w:drawing>
          <wp:inline distT="0" distB="0" distL="0" distR="0">
            <wp:extent cx="5715000" cy="3209925"/>
            <wp:effectExtent t="0" r="0" b="0" l="0"/>
            <wp:docPr id="10" name="seq-login.png" descr="Sequência de login, verificação da assinatura e carga dos dados" title="Sequência de login, verificação da assinatura e carga dos d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</w:pPr>
      <w:bookmarkStart w:name="_Toc26" w:id="26"/>
      <w:r>
        <w:rPr>
          <w:rFonts w:ascii="Arial" w:cs="Arial" w:eastAsia="Arial" w:hAnsi="Arial"/>
        </w:rPr>
        <w:t xml:space="preserve">5.4 Diagrama de sequência – cobrança automática</w:t>
      </w:r>
      <w:bookmarkEnd w:id="26"/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11 – Sequência de ativação da cobrança e baixa por webhook</w:t>
      </w:r>
    </w:p>
    <w:p>
      <w:pPr>
        <w:keepNext/>
        <w:jc w:val="center"/>
      </w:pPr>
      <w:r>
        <w:drawing>
          <wp:inline distT="0" distB="0" distL="0" distR="0">
            <wp:extent cx="5715000" cy="2857500"/>
            <wp:effectExtent t="0" r="0" b="0" l="0"/>
            <wp:docPr id="11" name="seq-cobranca.png" descr="Sequência de ativação da cobrança e baixa por webhook" title="Sequência de ativação da cobrança e baixa por webh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</w:pPr>
      <w:bookmarkStart w:name="_Toc27" w:id="27"/>
      <w:r>
        <w:rPr>
          <w:rFonts w:ascii="Arial" w:cs="Arial" w:eastAsia="Arial" w:hAnsi="Arial"/>
        </w:rPr>
        <w:t xml:space="preserve">5.5 Diagramas de estados</w:t>
      </w:r>
      <w:bookmarkEnd w:id="27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A Figura 12 mostra o ciclo de vida da assinatura de uma empresa, que determina se o acesso fica liberado. A Figura 13 mostra o ciclo comercial do orçamento até a ordem de serviço.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12 – Estados da assinatura</w:t>
      </w:r>
    </w:p>
    <w:p>
      <w:pPr>
        <w:keepNext/>
        <w:jc w:val="center"/>
      </w:pPr>
      <w:r>
        <w:drawing>
          <wp:inline distT="0" distB="0" distL="0" distR="0">
            <wp:extent cx="4953000" cy="4400550"/>
            <wp:effectExtent t="0" r="0" b="0" l="0"/>
            <wp:docPr id="12" name="estados-assinatura.png" descr="Estados da assinatura" title="Estados da assina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13 – Estados do orçamento e da ordem de serviço</w:t>
      </w:r>
    </w:p>
    <w:p>
      <w:pPr>
        <w:keepNext/>
        <w:jc w:val="center"/>
      </w:pPr>
      <w:r>
        <w:drawing>
          <wp:inline distT="0" distB="0" distL="0" distR="0">
            <wp:extent cx="5715000" cy="971550"/>
            <wp:effectExtent t="0" r="0" b="0" l="0"/>
            <wp:docPr id="13" name="estados-os.png" descr="Estados do orçamento e da ordem de serviço" title="Estados do orçamento e da ordem de serviç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</w:pPr>
      <w:bookmarkStart w:name="_Toc28" w:id="28"/>
      <w:r>
        <w:rPr>
          <w:rFonts w:ascii="Arial" w:cs="Arial" w:eastAsia="Arial" w:hAnsi="Arial"/>
        </w:rPr>
        <w:t xml:space="preserve">5.6 Fluxograma da rotina diária</w:t>
      </w:r>
      <w:bookmarkEnd w:id="28"/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14 – Rotina diária: reconciliação e régua de inadimplência</w:t>
      </w:r>
    </w:p>
    <w:p>
      <w:pPr>
        <w:keepNext/>
        <w:jc w:val="center"/>
      </w:pPr>
      <w:r>
        <w:drawing>
          <wp:inline distT="0" distB="0" distL="0" distR="0">
            <wp:extent cx="2514600" cy="5905500"/>
            <wp:effectExtent t="0" r="0" b="0" l="0"/>
            <wp:docPr id="14" name="fluxo-regua.png" descr="Rotina diária: reconciliação e régua de inadimplência" title="Rotina diária: reconciliação e régua de inadimplê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1"/>
        <w:pageBreakBefore/>
      </w:pPr>
      <w:bookmarkStart w:name="_Toc29" w:id="29"/>
      <w:r>
        <w:rPr>
          <w:rFonts w:ascii="Arial" w:cs="Arial" w:eastAsia="Arial" w:hAnsi="Arial"/>
        </w:rPr>
        <w:t xml:space="preserve">6 PROTÓTIPO DAS TELAS E FUNCIONALIDADES</w:t>
      </w:r>
      <w:bookmarkEnd w:id="29"/>
    </w:p>
    <w:p>
      <w:pPr>
        <w:pStyle w:val="Heading2"/>
      </w:pPr>
      <w:bookmarkStart w:name="_Toc30" w:id="30"/>
      <w:r>
        <w:rPr>
          <w:rFonts w:ascii="Arial" w:cs="Arial" w:eastAsia="Arial" w:hAnsi="Arial"/>
        </w:rPr>
        <w:t xml:space="preserve">6.1 Protótipo inicial</w:t>
      </w:r>
      <w:bookmarkEnd w:id="30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O projeto partiu de um protótipo de alta fidelidade com dez telas (Dashboard, Clientes, Orçamentos e Propostas, Funil Comercial, Ordens de Serviço, Equipamentos, Agenda e Tarefas, Financeiro, Relatórios e Usuários e Permissões) e uma peça de apresentação da marca. O protótipo foi elaborado com o nome anterior do produto, TechGest, posteriormente renomeado para Pivot Hub para não restringir o posicionamento a empresas de tecnologia.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15 – Protótipo de alta fidelidade (versão inicial, marca TechGest)</w:t>
      </w:r>
    </w:p>
    <w:p>
      <w:pPr>
        <w:keepNext/>
        <w:jc w:val="center"/>
      </w:pPr>
      <w:r>
        <w:drawing>
          <wp:inline distT="0" distB="0" distL="0" distR="0">
            <wp:extent cx="5715000" cy="5219700"/>
            <wp:effectExtent t="0" r="0" b="0" l="0"/>
            <wp:docPr id="15" name="00-prototipo.jpg" descr="Protótipo de alta fidelidade (versão inicial, marca TechGest)" title="Protótipo de alta fidelidade (versão inicial, marca TechGes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</w:pPr>
      <w:bookmarkStart w:name="_Toc31" w:id="31"/>
      <w:r>
        <w:rPr>
          <w:rFonts w:ascii="Arial" w:cs="Arial" w:eastAsia="Arial" w:hAnsi="Arial"/>
        </w:rPr>
        <w:t xml:space="preserve">6.2 Identidade visual</w:t>
      </w:r>
      <w:bookmarkEnd w:id="31"/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24 – Padrões visuais da interface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6803"/>
      </w:tblGrid>
      <w:tr>
        <w:trPr>
          <w:tblHeader/>
        </w:trPr>
        <w:tc>
          <w:tcPr>
            <w:tcW w:type="dxa" w:w="226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Elemento</w:t>
            </w:r>
          </w:p>
        </w:tc>
        <w:tc>
          <w:tcPr>
            <w:tcW w:type="dxa" w:w="68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Padrão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 primária</w:t>
            </w:r>
          </w:p>
        </w:tc>
        <w:tc>
          <w:tcPr>
            <w:tcW w:type="dxa" w:w="68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Azul #1E6FE8 (ações, item ativo, gráficos)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Menu lateral</w:t>
            </w:r>
          </w:p>
        </w:tc>
        <w:tc>
          <w:tcPr>
            <w:tcW w:type="dxa" w:w="68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Azul-marinho #061A3D / #0A2656, com seções recolhíveis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Fundo e cartões</w:t>
            </w:r>
          </w:p>
        </w:tc>
        <w:tc>
          <w:tcPr>
            <w:tcW w:type="dxa" w:w="68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Fundo #F3F6FB; cartões brancos com borda #E4E9F1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Cores de estado</w:t>
            </w:r>
          </w:p>
        </w:tc>
        <w:tc>
          <w:tcPr>
            <w:tcW w:type="dxa" w:w="68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Sucesso #16A34A · Atenção #D97706 · Risco #DC2626 · Informação #2563EB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Tipografia</w:t>
            </w:r>
          </w:p>
        </w:tc>
        <w:tc>
          <w:tcPr>
            <w:tcW w:type="dxa" w:w="68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 (interface) com fallback do sistema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Ícones</w:t>
            </w:r>
          </w:p>
        </w:tc>
        <w:tc>
          <w:tcPr>
            <w:tcW w:type="dxa" w:w="68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Lucide (traço simples e consistente)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Logotipo</w:t>
            </w:r>
          </w:p>
        </w:tc>
        <w:tc>
          <w:tcPr>
            <w:tcW w:type="dxa" w:w="68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Hexágono com núcleo central (o "pivô" que conecta as áreas do negócio)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</w:pPr>
      <w:bookmarkStart w:name="_Toc32" w:id="32"/>
      <w:r>
        <w:rPr>
          <w:rFonts w:ascii="Arial" w:cs="Arial" w:eastAsia="Arial" w:hAnsi="Arial"/>
        </w:rPr>
        <w:t xml:space="preserve">6.3 Descrição das funcionalidades por tela</w:t>
      </w:r>
      <w:bookmarkEnd w:id="32"/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25 – Telas do sistema, funcionalidades e decisões apoiadas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4989"/>
        <w:gridCol w:w="2540"/>
      </w:tblGrid>
      <w:tr>
        <w:trPr>
          <w:tblHeader/>
        </w:trPr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Tela</w:t>
            </w:r>
          </w:p>
        </w:tc>
        <w:tc>
          <w:tcPr>
            <w:tcW w:type="dxa" w:w="498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Principais funcionalidades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Decisão que apoia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Login</w:t>
            </w:r>
          </w:p>
        </w:tc>
        <w:tc>
          <w:tcPr>
            <w:tcW w:type="dxa" w:w="498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Acesso por e-mail e senha; bloqueio de contas suspensas ou com teste vencido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Início</w:t>
            </w:r>
          </w:p>
        </w:tc>
        <w:tc>
          <w:tcPr>
            <w:tcW w:type="dxa" w:w="498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KPIs com comparação em base equivalente de dias, meta e projeção, "Onde agir agora", faturamento 6 meses, agenda, OS e clientes recentes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 que priorizar hoje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Clientes</w:t>
            </w:r>
          </w:p>
        </w:tc>
        <w:tc>
          <w:tcPr>
            <w:tcW w:type="dxa" w:w="498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Cadastro PF/PJ, filtros, receita 12 meses, última compra, risco (90 dias), cross-sell, painel lateral com histórico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Quem reativar ou para quem vender mais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Orçamentos</w:t>
            </w:r>
          </w:p>
        </w:tc>
        <w:tc>
          <w:tcPr>
            <w:tcW w:type="dxa" w:w="498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Abas por status, catálogo, valor em aberto, conversão, alerta de vencimento, PDF, conversão em OS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Quais propostas acompanhar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Funil Comercial</w:t>
            </w:r>
          </w:p>
        </w:tc>
        <w:tc>
          <w:tcPr>
            <w:tcW w:type="dxa" w:w="498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Kanban com arrastar e soltar, origem do lead, avanço por etapa, previsão ponderada, oportunidades paradas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Onde o funil trava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Contratos</w:t>
            </w:r>
          </w:p>
        </w:tc>
        <w:tc>
          <w:tcPr>
            <w:tcW w:type="dxa" w:w="498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MRR, peso na receita, renovações, churn, cobranças do mês, clientes com perfil para contrato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Como aumentar a receita recorrente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Social Media</w:t>
            </w:r>
          </w:p>
        </w:tc>
        <w:tc>
          <w:tcPr>
            <w:tcW w:type="dxa" w:w="498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Calendário editorial, métricas por post, engajamento por formato e pilar, seguidores, atribuição de leads e receita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Qual conteúdo gera vendas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Ordens de Serviço</w:t>
            </w:r>
          </w:p>
        </w:tc>
        <w:tc>
          <w:tcPr>
            <w:tcW w:type="dxa" w:w="498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Prazo, técnico, status, SLA, tempo médio, impressão da OS, NPS, receita automática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Quais OS estão em risco de atraso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Equipamentos</w:t>
            </w:r>
          </w:p>
        </w:tc>
        <w:tc>
          <w:tcPr>
            <w:tcW w:type="dxa" w:w="498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Cadastro por cliente, garantia, histórico de OS, garantias a vencer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Oportunidade de contrato de manutenção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Estoque</w:t>
            </w:r>
          </w:p>
        </w:tc>
        <w:tc>
          <w:tcPr>
            <w:tcW w:type="dxa" w:w="498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Mínimo, consumo de 90 dias, cobertura, entradas e saídas, lista de compras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 que comprar e quando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Treinamentos</w:t>
            </w:r>
          </w:p>
        </w:tc>
        <w:tc>
          <w:tcPr>
            <w:tcW w:type="dxa" w:w="498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Turmas, vagas, ocupação, ponto de equilíbrio, alunos e pagamentos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 a turma se paga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Agenda</w:t>
            </w:r>
          </w:p>
        </w:tc>
        <w:tc>
          <w:tcPr>
            <w:tcW w:type="dxa" w:w="498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Visões dia/semana/mês, ocupação, conflitos de horário, tarefas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Capacidade da equipe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Financeiro</w:t>
            </w:r>
          </w:p>
        </w:tc>
        <w:tc>
          <w:tcPr>
            <w:tcW w:type="dxa" w:w="498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Receitas × despesas, lucro e margem, categorias, a receber/a pagar, baixa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Saúde do caixa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Relatórios</w:t>
            </w:r>
          </w:p>
        </w:tc>
        <w:tc>
          <w:tcPr>
            <w:tcW w:type="dxa" w:w="498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DRE, fluxo de caixa, ABC, clientes em risco, vendas por serviço (volume × ticket), OS, funil; CSV e PDF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Causas das variações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Planejamento</w:t>
            </w:r>
          </w:p>
        </w:tc>
        <w:tc>
          <w:tcPr>
            <w:tcW w:type="dxa" w:w="498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Ponto de equilíbrio com pró-labore, simulador de cenários, meta por categoria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Quanto vender para atingir o objetivo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Serviços e Preços</w:t>
            </w:r>
          </w:p>
        </w:tc>
        <w:tc>
          <w:tcPr>
            <w:tcW w:type="dxa" w:w="498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Preço, custo, margem, lucro por hora, preço praticado × tabela, classificação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Quais serviços priorizar ou reprecificar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Usuários</w:t>
            </w:r>
          </w:p>
        </w:tc>
        <w:tc>
          <w:tcPr>
            <w:tcW w:type="dxa" w:w="498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Usuários, perfis e permissões por módulo, redefinição de senha, limite do plano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Quem acessa o quê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Configurações</w:t>
            </w:r>
          </w:p>
        </w:tc>
        <w:tc>
          <w:tcPr>
            <w:tcW w:type="dxa" w:w="498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Dados da empresa, metas, backup/restauração, senha, "Minha assinatura"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Console – Visão</w:t>
            </w:r>
          </w:p>
        </w:tc>
        <w:tc>
          <w:tcPr>
            <w:tcW w:type="dxa" w:w="498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MRR, ARR, ARPA, churn, NRR, inadimplência, testes, CAC, LTV, payback, insights, movimento do MRR, receita por plano e canal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Saúde do negócio SaaS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Console – Assinantes</w:t>
            </w:r>
          </w:p>
        </w:tc>
        <w:tc>
          <w:tcPr>
            <w:tcW w:type="dxa" w:w="498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Cadastro com geração de acesso, teste grátis, troca de plano com impacto, cobrança automática, saúde e histórico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Quem converter, reter ou cobrar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Console – Planos</w:t>
            </w:r>
          </w:p>
        </w:tc>
        <w:tc>
          <w:tcPr>
            <w:tcW w:type="dxa" w:w="498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Planos e módulos, matriz de adoção, simulador de reajuste, regras comerciais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Empacotamento e preço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Console – Faturamento</w:t>
            </w:r>
          </w:p>
        </w:tc>
        <w:tc>
          <w:tcPr>
            <w:tcW w:type="dxa" w:w="498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Faturas, baixa, régua, adimplência, painel da integração Asaas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Inadimplência e caixa da plataforma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1"/>
        <w:pageBreakBefore/>
      </w:pPr>
      <w:bookmarkStart w:name="_Toc33" w:id="33"/>
      <w:r>
        <w:rPr>
          <w:rFonts w:ascii="Arial" w:cs="Arial" w:eastAsia="Arial" w:hAnsi="Arial"/>
        </w:rPr>
        <w:t xml:space="preserve">7 DESENVOLVIMENTO DA APLICAÇÃO</w:t>
      </w:r>
      <w:bookmarkEnd w:id="33"/>
    </w:p>
    <w:p>
      <w:pPr>
        <w:pStyle w:val="Heading2"/>
      </w:pPr>
      <w:bookmarkStart w:name="_Toc34" w:id="34"/>
      <w:r>
        <w:rPr>
          <w:rFonts w:ascii="Arial" w:cs="Arial" w:eastAsia="Arial" w:hAnsi="Arial"/>
        </w:rPr>
        <w:t xml:space="preserve">7.1 Tecnologias utilizadas</w:t>
      </w:r>
      <w:bookmarkEnd w:id="34"/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26 – Tecnologias e finalidade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8"/>
        <w:gridCol w:w="1633"/>
        <w:gridCol w:w="5080"/>
      </w:tblGrid>
      <w:tr>
        <w:trPr>
          <w:tblHeader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Tecnologia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Versão</w:t>
            </w:r>
          </w:p>
        </w:tc>
        <w:tc>
          <w:tcPr>
            <w:tcW w:type="dxa" w:w="50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Uso no projeto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50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Interface em componentes (SPA)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TypeScript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0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Tipagem estática de todo o front-end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Vite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0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Desenvolvimento e build de produção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 Router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0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Rotas (HashRouter) e proteção por módulo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Recharts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0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Gráficos de indicadores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Lucide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0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Ícones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Cloudflare Workers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compat. 2025-09-01</w:t>
            </w:r>
          </w:p>
        </w:tc>
        <w:tc>
          <w:tcPr>
            <w:tcW w:type="dxa" w:w="50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API, autenticação, regras e integração (serverless)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Cloudflare D1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0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Banco de dados SQLite gerenciado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Cron Triggers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0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Rotina diária automática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Asaas API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  <w:tc>
          <w:tcPr>
            <w:tcW w:type="dxa" w:w="50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Clientes, assinaturas, cobranças e webhooks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Wrangler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0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Execução local e publicação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Playwright / Chromium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0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Testes automatizados de interface e capturas de tela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 + Workers Builds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0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Versionamento e implantação contínua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</w:pPr>
      <w:bookmarkStart w:name="_Toc35" w:id="35"/>
      <w:r>
        <w:rPr>
          <w:rFonts w:ascii="Arial" w:cs="Arial" w:eastAsia="Arial" w:hAnsi="Arial"/>
        </w:rPr>
        <w:t xml:space="preserve">7.2 Organização do código-fonte</w:t>
      </w:r>
      <w:bookmarkEnd w:id="35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O código está no repositório público </w:t>
      </w:r>
      <w:r>
        <w:rPr>
          <w:rFonts w:ascii="Arial" w:cs="Arial" w:eastAsia="Arial" w:hAnsi="Arial"/>
          <w:b/>
          <w:bCs/>
        </w:rPr>
        <w:t xml:space="preserve">github.com/ramosSaymon99/TCC-v1</w:t>
      </w:r>
      <w:r>
        <w:rPr>
          <w:rFonts w:ascii="Arial" w:cs="Arial" w:eastAsia="Arial" w:hAnsi="Arial"/>
        </w:rPr>
        <w:t xml:space="preserve"> (branch main). São 41 arquivos TypeScript/TSX no front-end (cerca de 8.300 linhas), 851 linhas no Worker e 387 linhas de estilos. A estrutura principal é:</w:t>
      </w:r>
    </w:p>
    <w:p>
      <w:pPr>
        <w:shd w:fill="F3F6FB" w:color="auto" w:val="clear"/>
        <w:spacing w:after="0" w:before="12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TCC-v1/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├── src/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pages/            telas da empresa (Dashboard, Clientes, Ordens, Financeiro...)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pages/console/    console SaaS: Visao, Assinantes, Planos, Faturas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components/       Layout (menu e avisos), ui (KPI, modal, tabela), busca global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store/            Store (sessão e dados), plataforma (planos, saúde), seed, migração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utils/            métricas e insights, métricas SaaS, formatação, impressão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│   └── types.ts          modelo de dados tipado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├── worker/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index.js          API: login, multiempresa, permissões, console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asaas.js          integração Asaas: assinatura, webhook, rotina diária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│   └── schema.sql        tabelas do D1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├── scripts/singlefile.mjs gera o app em um único index.html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├── docs/                 modelo de contrato de licença (Word)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├── wrangler.toml         Worker, D1, assets e Cron</w:t>
      </w:r>
    </w:p>
    <w:p>
      <w:pPr>
        <w:shd w:fill="F3F6FB" w:color="auto" w:val="clear"/>
        <w:spacing w:after="16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└── README.md            telas, execução, publicação e configuração do Asaas</w:t>
      </w:r>
    </w:p>
    <w:p>
      <w:pPr>
        <w:pStyle w:val="Heading2"/>
      </w:pPr>
      <w:bookmarkStart w:name="_Toc36" w:id="36"/>
      <w:r>
        <w:rPr>
          <w:rFonts w:ascii="Arial" w:cs="Arial" w:eastAsia="Arial" w:hAnsi="Arial"/>
        </w:rPr>
        <w:t xml:space="preserve">7.3 Principais decisões técnicas</w:t>
      </w:r>
      <w:bookmarkEnd w:id="36"/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  <w:b/>
          <w:bCs/>
        </w:rPr>
        <w:t xml:space="preserve">Multiempresa por tenant: </w:t>
      </w:r>
      <w:r>
        <w:rPr>
          <w:rFonts w:ascii="Arial" w:cs="Arial" w:eastAsia="Arial" w:hAnsi="Arial"/>
        </w:rPr>
        <w:t xml:space="preserve">todas as consultas do Worker usam o tenant contido no token assinado, o que impede, por construção, que uma empresa leia ou grave dados de outra.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  <w:b/>
          <w:bCs/>
        </w:rPr>
        <w:t xml:space="preserve">Regras validadas no servidor: </w:t>
      </w:r>
      <w:r>
        <w:rPr>
          <w:rFonts w:ascii="Arial" w:cs="Arial" w:eastAsia="Arial" w:hAnsi="Arial"/>
        </w:rPr>
        <w:t xml:space="preserve">plano, perfil, limite de usuários, e-mail único e bloqueio de contas são verificados no Worker; a interface apenas antecipa as mensagens.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  <w:b/>
          <w:bCs/>
        </w:rPr>
        <w:t xml:space="preserve">Arquivo único: </w:t>
      </w:r>
      <w:r>
        <w:rPr>
          <w:rFonts w:ascii="Arial" w:cs="Arial" w:eastAsia="Arial" w:hAnsi="Arial"/>
        </w:rPr>
        <w:t xml:space="preserve">o build gera um index.html com todo o JavaScript e CSS embutidos, o que simplifica a distribuição e permite o modo local sem servidor.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  <w:b/>
          <w:bCs/>
        </w:rPr>
        <w:t xml:space="preserve">Migração automática: </w:t>
      </w:r>
      <w:r>
        <w:rPr>
          <w:rFonts w:ascii="Arial" w:cs="Arial" w:eastAsia="Arial" w:hAnsi="Arial"/>
        </w:rPr>
        <w:t xml:space="preserve">a constante VERSAO_DADOS identifica o formato da base; ao carregar uma base antiga, o sistema completa coleções e permissões novas sem perder dados.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  <w:b/>
          <w:bCs/>
        </w:rPr>
        <w:t xml:space="preserve">Cobrança orientada a eventos: </w:t>
      </w:r>
      <w:r>
        <w:rPr>
          <w:rFonts w:ascii="Arial" w:cs="Arial" w:eastAsia="Arial" w:hAnsi="Arial"/>
        </w:rPr>
        <w:t xml:space="preserve">o webhook do Asaas é a fonte da verdade dos pagamentos; a rotina diária reconcilia eventuais perdas, e cada evento é processado uma única vez.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  <w:b/>
          <w:bCs/>
        </w:rPr>
        <w:t xml:space="preserve">Chaves fora do código: </w:t>
      </w:r>
      <w:r>
        <w:rPr>
          <w:rFonts w:ascii="Arial" w:cs="Arial" w:eastAsia="Arial" w:hAnsi="Arial"/>
        </w:rPr>
        <w:t xml:space="preserve">a chave da API do Asaas é um secret do Worker; a chave das sessões e o token do webhook são gerados e guardados no banco, nunca expostos pela API.</w:t>
      </w:r>
    </w:p>
    <w:p>
      <w:pPr>
        <w:pStyle w:val="Heading2"/>
      </w:pPr>
      <w:bookmarkStart w:name="_Toc37" w:id="37"/>
      <w:r>
        <w:rPr>
          <w:rFonts w:ascii="Arial" w:cs="Arial" w:eastAsia="Arial" w:hAnsi="Arial"/>
        </w:rPr>
        <w:t xml:space="preserve">7.4 Trechos de código relevantes</w:t>
      </w:r>
      <w:bookmarkEnd w:id="37"/>
    </w:p>
    <w:p>
      <w:pPr>
        <w:spacing w:after="100" w:line="360"/>
        <w:jc w:val="both"/>
      </w:pPr>
      <w:r>
        <w:rPr>
          <w:rFonts w:ascii="Arial" w:cs="Arial" w:eastAsia="Arial" w:hAnsi="Arial"/>
        </w:rPr>
        <w:t xml:space="preserve">Cálculo da mensalidade (regra RN10), compartilhado entre interface e servidor:</w:t>
      </w:r>
    </w:p>
    <w:p>
      <w:pPr>
        <w:shd w:fill="F3F6FB" w:color="auto" w:val="clear"/>
        <w:spacing w:after="0" w:before="12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export function valorMensalDe(a, plano, cfg) {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  if (!a || !plano) return 0;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  const base = plano.precoMensal * (a.ciclo === 'Anual' ? 1 - plano.descontoAnual : 1);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  const extras = a.usuariosExtras * plano.precoUsuarioExtra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    + a.modulosExtras.filter((m) =&gt; !plano.modulos.includes(m)).length * cfg.precoModuloAvulso;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  return Math.round((base + extras) * (1 - (a.descontoPct || 0)) * 100) / 100;</w:t>
      </w:r>
    </w:p>
    <w:p>
      <w:pPr>
        <w:shd w:fill="F3F6FB" w:color="auto" w:val="clear"/>
        <w:spacing w:after="16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100" w:line="360"/>
        <w:jc w:val="both"/>
      </w:pPr>
      <w:r>
        <w:rPr>
          <w:rFonts w:ascii="Arial" w:cs="Arial" w:eastAsia="Arial" w:hAnsi="Arial"/>
        </w:rPr>
        <w:t xml:space="preserve">Validação da sessão (RNF03): o token contém empresa, usuário e validade, assinados com HMAC-SHA256:</w:t>
      </w:r>
    </w:p>
    <w:p>
      <w:pPr>
        <w:shd w:fill="F3F6FB" w:color="auto" w:val="clear"/>
        <w:spacing w:after="0" w:before="12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async function validarToken(env, token) {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  const [tenant, uid, exp, sig] = (token || '').split('.');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  if (!sig || Number(exp) &lt; Date.now()) return null;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  return iguais(sig, await hmac(env, `${tenant}.${uid}.${exp}`)) ? { tenant, uid } : null;</w:t>
      </w:r>
    </w:p>
    <w:p>
      <w:pPr>
        <w:shd w:fill="F3F6FB" w:color="auto" w:val="clear"/>
        <w:spacing w:after="16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100" w:line="360"/>
        <w:jc w:val="both"/>
      </w:pPr>
      <w:r>
        <w:rPr>
          <w:rFonts w:ascii="Arial" w:cs="Arial" w:eastAsia="Arial" w:hAnsi="Arial"/>
        </w:rPr>
        <w:t xml:space="preserve">Webhook do Asaas (RN13): autenticação por token e idempotência pelo identificador do evento:</w:t>
      </w:r>
    </w:p>
    <w:p>
      <w:pPr>
        <w:shd w:fill="F3F6FB" w:color="auto" w:val="clear"/>
        <w:spacing w:after="0" w:before="12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if (!iguais(req.headers.get('asaas-access-token') ?? '', esperado)) return json({ error: 'Token inválido.' }, 401);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if (await getItem(env, 'asaas_eventos', evId)) return json({ ok: true, duplicado: true });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const a = await assinantePorPagamento(env, p);   // por externalReference, assinatura ou cliente</w:t>
      </w:r>
    </w:p>
    <w:p>
      <w:pPr>
        <w:shd w:fill="F3F6FB" w:color="auto" w:val="clear"/>
        <w:spacing w:after="16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const f = await registrarPagamento(env, a, p, ev.event); // baixa, conversão do teste, regularização</w:t>
      </w:r>
    </w:p>
    <w:p>
      <w:pPr>
        <w:pStyle w:val="Heading2"/>
      </w:pPr>
      <w:bookmarkStart w:name="_Toc38" w:id="38"/>
      <w:r>
        <w:rPr>
          <w:rFonts w:ascii="Arial" w:cs="Arial" w:eastAsia="Arial" w:hAnsi="Arial"/>
        </w:rPr>
        <w:t xml:space="preserve">7.5 Execução e publicação (README)</w:t>
      </w:r>
      <w:bookmarkEnd w:id="38"/>
    </w:p>
    <w:p>
      <w:pPr>
        <w:spacing w:after="100" w:line="360"/>
        <w:jc w:val="both"/>
      </w:pPr>
      <w:r>
        <w:rPr>
          <w:rFonts w:ascii="Arial" w:cs="Arial" w:eastAsia="Arial" w:hAnsi="Arial"/>
          <w:b/>
          <w:bCs/>
        </w:rPr>
        <w:t xml:space="preserve">Execução local:</w:t>
      </w:r>
      <w:r>
        <w:rPr>
          <w:rFonts w:ascii="Arial" w:cs="Arial" w:eastAsia="Arial" w:hAnsi="Arial"/>
        </w:rPr>
        <w:t xml:space="preserve"> instalar o Node.js 20 ou superior e executar:</w:t>
      </w:r>
    </w:p>
    <w:p>
      <w:pPr>
        <w:shd w:fill="F3F6FB" w:color="auto" w:val="clear"/>
        <w:spacing w:after="0" w:before="12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npm install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npm run dev        # ambiente de desenvolvimento (modo local, dados no navegador)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npm run build      # verificação de tipos + build de produção</w:t>
      </w:r>
    </w:p>
    <w:p>
      <w:pPr>
        <w:shd w:fill="F3F6FB" w:color="auto" w:val="clear"/>
        <w:spacing w:after="16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npm run build:single  # gera cloudflare-dist/index.html (arquivo único)</w:t>
      </w:r>
    </w:p>
    <w:p>
      <w:pPr>
        <w:spacing w:after="100" w:line="360"/>
        <w:jc w:val="both"/>
      </w:pPr>
      <w:r>
        <w:rPr>
          <w:rFonts w:ascii="Arial" w:cs="Arial" w:eastAsia="Arial" w:hAnsi="Arial"/>
          <w:b/>
          <w:bCs/>
        </w:rPr>
        <w:t xml:space="preserve">Publicação:</w:t>
      </w:r>
      <w:r>
        <w:rPr>
          <w:rFonts w:ascii="Arial" w:cs="Arial" w:eastAsia="Arial" w:hAnsi="Arial"/>
        </w:rPr>
        <w:t xml:space="preserve"> o projeto no Cloudflare (Workers &amp; Pages → techgest) está conectado ao GitHub; a cada atualização da branch main, o Workers Builds executa o build e publica o Worker, os assets e o Cron. As tabelas do D1 e a chave das sessões são criadas pelo próprio Worker no primeiro acesso.</w:t>
      </w:r>
    </w:p>
    <w:p>
      <w:pPr>
        <w:spacing w:after="100" w:line="360"/>
        <w:jc w:val="both"/>
      </w:pPr>
      <w:r>
        <w:rPr>
          <w:rFonts w:ascii="Arial" w:cs="Arial" w:eastAsia="Arial" w:hAnsi="Arial"/>
          <w:b/>
          <w:bCs/>
        </w:rPr>
        <w:t xml:space="preserve">Cobrança automática:</w:t>
      </w:r>
      <w:r>
        <w:rPr>
          <w:rFonts w:ascii="Arial" w:cs="Arial" w:eastAsia="Arial" w:hAnsi="Arial"/>
        </w:rPr>
        <w:t xml:space="preserve"> cadastrar o secret ASAAS_API_KEY no Worker (chave $aact_hmlg_ para sandbox ou $aact_prod_ para produção) e, no console, acionar "Configurar webhook".</w:t>
      </w:r>
    </w:p>
    <w:p>
      <w:pPr>
        <w:pStyle w:val="Heading1"/>
        <w:pageBreakBefore/>
      </w:pPr>
      <w:bookmarkStart w:name="_Toc39" w:id="39"/>
      <w:r>
        <w:rPr>
          <w:rFonts w:ascii="Arial" w:cs="Arial" w:eastAsia="Arial" w:hAnsi="Arial"/>
        </w:rPr>
        <w:t xml:space="preserve">8 CAPTURAS DE TELA DO SISTEMA</w:t>
      </w:r>
      <w:bookmarkEnd w:id="39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As capturas a seguir foram obtidas automaticamente com o Playwright (Chromium, 1440 × 900 px) na versão final do sistema, com a base de demonstração, durante a execução da bateria de testes descrita no capítulo 9.</w:t>
      </w:r>
    </w:p>
    <w:p>
      <w:pPr>
        <w:spacing w:after="100" w:line="360"/>
        <w:jc w:val="both"/>
      </w:pPr>
      <w:r>
        <w:rPr>
          <w:rFonts w:ascii="Arial" w:cs="Arial" w:eastAsia="Arial" w:hAnsi="Arial"/>
        </w:rPr>
        <w:t xml:space="preserve">Acesso por e-mail e senha, sem exposição de credenciais de demonstração.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16 – Tela de login</w:t>
      </w:r>
    </w:p>
    <w:p>
      <w:pPr>
        <w:keepNext/>
        <w:jc w:val="center"/>
      </w:pPr>
      <w:r>
        <w:drawing>
          <wp:inline distT="0" distB="0" distL="0" distR="0">
            <wp:extent cx="5715000" cy="3571875"/>
            <wp:effectExtent t="0" r="0" b="0" l="0"/>
            <wp:docPr id="16" name="01-login.jpg" descr="Tela de login" title="Tela de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spacing w:after="100" w:line="360"/>
        <w:jc w:val="both"/>
      </w:pPr>
      <w:r>
        <w:rPr>
          <w:rFonts w:ascii="Arial" w:cs="Arial" w:eastAsia="Arial" w:hAnsi="Arial"/>
        </w:rPr>
        <w:t xml:space="preserve">KPIs com comparação em base equivalente de dias, meta e projeção, e o bloco "Onde agir agora" com alertas priorizados.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17 – Painel inicial (Início)</w:t>
      </w:r>
    </w:p>
    <w:p>
      <w:pPr>
        <w:keepNext/>
        <w:jc w:val="center"/>
      </w:pPr>
      <w:r>
        <w:drawing>
          <wp:inline distT="0" distB="0" distL="0" distR="0">
            <wp:extent cx="5715000" cy="3571875"/>
            <wp:effectExtent t="0" r="0" b="0" l="0"/>
            <wp:docPr id="17" name="02-dashboard.jpg" descr="Painel inicial (Início)" title="Painel inicial (Iníci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spacing w:after="100" w:line="360"/>
        <w:jc w:val="both"/>
      </w:pPr>
      <w:r>
        <w:rPr>
          <w:rFonts w:ascii="Arial" w:cs="Arial" w:eastAsia="Arial" w:hAnsi="Arial"/>
        </w:rPr>
        <w:t xml:space="preserve">Lista com filtros, receita de 12 meses e sinalização de clientes em risco.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18 – Clientes</w:t>
      </w:r>
    </w:p>
    <w:p>
      <w:pPr>
        <w:keepNext/>
        <w:jc w:val="center"/>
      </w:pPr>
      <w:r>
        <w:drawing>
          <wp:inline distT="0" distB="0" distL="0" distR="0">
            <wp:extent cx="5715000" cy="3571875"/>
            <wp:effectExtent t="0" r="0" b="0" l="0"/>
            <wp:docPr id="18" name="03-clientes.jpg" descr="Clientes" title="Cli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spacing w:after="100" w:line="360"/>
        <w:jc w:val="both"/>
      </w:pPr>
      <w:r>
        <w:rPr>
          <w:rFonts w:ascii="Arial" w:cs="Arial" w:eastAsia="Arial" w:hAnsi="Arial"/>
        </w:rPr>
        <w:t xml:space="preserve">Dados, histórico de compras, serviços e orçamentos do cliente selecionado.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19 – Clientes – painel lateral do cliente</w:t>
      </w:r>
    </w:p>
    <w:p>
      <w:pPr>
        <w:keepNext/>
        <w:jc w:val="center"/>
      </w:pPr>
      <w:r>
        <w:drawing>
          <wp:inline distT="0" distB="0" distL="0" distR="0">
            <wp:extent cx="5715000" cy="3571875"/>
            <wp:effectExtent t="0" r="0" b="0" l="0"/>
            <wp:docPr id="19" name="03b-cliente-painel.jpg" descr="Clientes – painel lateral do cliente" title="Clientes – painel lateral do cl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spacing w:after="100" w:line="360"/>
        <w:jc w:val="both"/>
      </w:pPr>
      <w:r>
        <w:rPr>
          <w:rFonts w:ascii="Arial" w:cs="Arial" w:eastAsia="Arial" w:hAnsi="Arial"/>
        </w:rPr>
        <w:t xml:space="preserve">Abas por status, valor em aberto, conversão e alerta de vencimento.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20 – Orçamentos e Propostas</w:t>
      </w:r>
    </w:p>
    <w:p>
      <w:pPr>
        <w:keepNext/>
        <w:jc w:val="center"/>
      </w:pPr>
      <w:r>
        <w:drawing>
          <wp:inline distT="0" distB="0" distL="0" distR="0">
            <wp:extent cx="5715000" cy="3571875"/>
            <wp:effectExtent t="0" r="0" b="0" l="0"/>
            <wp:docPr id="20" name="04-orcamentos.jpg" descr="Orçamentos e Propostas" title="Orçamentos e Propos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spacing w:after="100" w:line="360"/>
        <w:jc w:val="both"/>
      </w:pPr>
      <w:r>
        <w:rPr>
          <w:rFonts w:ascii="Arial" w:cs="Arial" w:eastAsia="Arial" w:hAnsi="Arial"/>
        </w:rPr>
        <w:t xml:space="preserve">Kanban por etapa, com valores, origem do lead e previsão ponderada.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21 – Funil Comercial</w:t>
      </w:r>
    </w:p>
    <w:p>
      <w:pPr>
        <w:keepNext/>
        <w:jc w:val="center"/>
      </w:pPr>
      <w:r>
        <w:drawing>
          <wp:inline distT="0" distB="0" distL="0" distR="0">
            <wp:extent cx="5715000" cy="3571875"/>
            <wp:effectExtent t="0" r="0" b="0" l="0"/>
            <wp:docPr id="21" name="05-funil.jpg" descr="Funil Comercial" title="Funil Comerc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spacing w:after="100" w:line="360"/>
        <w:jc w:val="both"/>
      </w:pPr>
      <w:r>
        <w:rPr>
          <w:rFonts w:ascii="Arial" w:cs="Arial" w:eastAsia="Arial" w:hAnsi="Arial"/>
        </w:rPr>
        <w:t xml:space="preserve">MRR, renovações, cancelamentos e geração das cobranças do mês.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22 – Contratos Recorrentes</w:t>
      </w:r>
    </w:p>
    <w:p>
      <w:pPr>
        <w:keepNext/>
        <w:jc w:val="center"/>
      </w:pPr>
      <w:r>
        <w:drawing>
          <wp:inline distT="0" distB="0" distL="0" distR="0">
            <wp:extent cx="5715000" cy="3571875"/>
            <wp:effectExtent t="0" r="0" b="0" l="0"/>
            <wp:docPr id="22" name="06-contratos.jpg" descr="Contratos Recorrentes" title="Contratos Recorr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spacing w:after="100" w:line="360"/>
        <w:jc w:val="both"/>
      </w:pPr>
      <w:r>
        <w:rPr>
          <w:rFonts w:ascii="Arial" w:cs="Arial" w:eastAsia="Arial" w:hAnsi="Arial"/>
        </w:rPr>
        <w:t xml:space="preserve">Indicadores de alcance, engajamento e leads atribuídos a conteúdos.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23 – Social Media</w:t>
      </w:r>
    </w:p>
    <w:p>
      <w:pPr>
        <w:keepNext/>
        <w:jc w:val="center"/>
      </w:pPr>
      <w:r>
        <w:drawing>
          <wp:inline distT="0" distB="0" distL="0" distR="0">
            <wp:extent cx="5715000" cy="3571875"/>
            <wp:effectExtent t="0" r="0" b="0" l="0"/>
            <wp:docPr id="23" name="07-social.jpg" descr="Social Media" title="Social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spacing w:after="100" w:line="360"/>
        <w:jc w:val="both"/>
      </w:pPr>
      <w:r>
        <w:rPr>
          <w:rFonts w:ascii="Arial" w:cs="Arial" w:eastAsia="Arial" w:hAnsi="Arial"/>
        </w:rPr>
        <w:t xml:space="preserve">Status, prazos, atrasos e indicadores de SLA.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24 – Ordens de Serviço</w:t>
      </w:r>
    </w:p>
    <w:p>
      <w:pPr>
        <w:keepNext/>
        <w:jc w:val="center"/>
      </w:pPr>
      <w:r>
        <w:drawing>
          <wp:inline distT="0" distB="0" distL="0" distR="0">
            <wp:extent cx="5715000" cy="3571875"/>
            <wp:effectExtent t="0" r="0" b="0" l="0"/>
            <wp:docPr id="24" name="08-ordens.jpg" descr="Ordens de Serviço" title="Ordens de Serviç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spacing w:after="100" w:line="360"/>
        <w:jc w:val="both"/>
      </w:pPr>
      <w:r>
        <w:rPr>
          <w:rFonts w:ascii="Arial" w:cs="Arial" w:eastAsia="Arial" w:hAnsi="Arial"/>
        </w:rPr>
        <w:t xml:space="preserve">Cadastro por cliente com garantia e histórico.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25 – Equipamentos</w:t>
      </w:r>
    </w:p>
    <w:p>
      <w:pPr>
        <w:keepNext/>
        <w:jc w:val="center"/>
      </w:pPr>
      <w:r>
        <w:drawing>
          <wp:inline distT="0" distB="0" distL="0" distR="0">
            <wp:extent cx="5715000" cy="3571875"/>
            <wp:effectExtent t="0" r="0" b="0" l="0"/>
            <wp:docPr id="25" name="09-equipamentos.jpg" descr="Equipamentos" title="Equipamen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spacing w:after="100" w:line="360"/>
        <w:jc w:val="both"/>
      </w:pPr>
      <w:r>
        <w:rPr>
          <w:rFonts w:ascii="Arial" w:cs="Arial" w:eastAsia="Arial" w:hAnsi="Arial"/>
        </w:rPr>
        <w:t xml:space="preserve">Mínimo, cobertura e lista de compras.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26 – Estoque de Peças</w:t>
      </w:r>
    </w:p>
    <w:p>
      <w:pPr>
        <w:keepNext/>
        <w:jc w:val="center"/>
      </w:pPr>
      <w:r>
        <w:drawing>
          <wp:inline distT="0" distB="0" distL="0" distR="0">
            <wp:extent cx="5715000" cy="3571875"/>
            <wp:effectExtent t="0" r="0" b="0" l="0"/>
            <wp:docPr id="26" name="10-estoque.jpg" descr="Estoque de Peças" title="Estoque de Peç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spacing w:after="100" w:line="360"/>
        <w:jc w:val="both"/>
      </w:pPr>
      <w:r>
        <w:rPr>
          <w:rFonts w:ascii="Arial" w:cs="Arial" w:eastAsia="Arial" w:hAnsi="Arial"/>
        </w:rPr>
        <w:t xml:space="preserve">Turmas, ocupação e ponto de equilíbrio.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27 – Treinamentos</w:t>
      </w:r>
    </w:p>
    <w:p>
      <w:pPr>
        <w:keepNext/>
        <w:jc w:val="center"/>
      </w:pPr>
      <w:r>
        <w:drawing>
          <wp:inline distT="0" distB="0" distL="0" distR="0">
            <wp:extent cx="5715000" cy="3571875"/>
            <wp:effectExtent t="0" r="0" b="0" l="0"/>
            <wp:docPr id="27" name="11-treinamentos.jpg" descr="Treinamentos" title="Treinamen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spacing w:after="100" w:line="360"/>
        <w:jc w:val="both"/>
      </w:pPr>
      <w:r>
        <w:rPr>
          <w:rFonts w:ascii="Arial" w:cs="Arial" w:eastAsia="Arial" w:hAnsi="Arial"/>
        </w:rPr>
        <w:t xml:space="preserve">Compromissos do período e tarefas por prioridade.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28 – Agenda e Tarefas</w:t>
      </w:r>
    </w:p>
    <w:p>
      <w:pPr>
        <w:keepNext/>
        <w:jc w:val="center"/>
      </w:pPr>
      <w:r>
        <w:drawing>
          <wp:inline distT="0" distB="0" distL="0" distR="0">
            <wp:extent cx="5715000" cy="3571875"/>
            <wp:effectExtent t="0" r="0" b="0" l="0"/>
            <wp:docPr id="28" name="12-agenda.jpg" descr="Agenda e Tarefas" title="Agenda e Taref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spacing w:after="100" w:line="360"/>
        <w:jc w:val="both"/>
      </w:pPr>
      <w:r>
        <w:rPr>
          <w:rFonts w:ascii="Arial" w:cs="Arial" w:eastAsia="Arial" w:hAnsi="Arial"/>
        </w:rPr>
        <w:t xml:space="preserve">Receitas, despesas, lucro, margem e pendências.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29 – Financeiro</w:t>
      </w:r>
    </w:p>
    <w:p>
      <w:pPr>
        <w:keepNext/>
        <w:jc w:val="center"/>
      </w:pPr>
      <w:r>
        <w:drawing>
          <wp:inline distT="0" distB="0" distL="0" distR="0">
            <wp:extent cx="5715000" cy="3571875"/>
            <wp:effectExtent t="0" r="0" b="0" l="0"/>
            <wp:docPr id="29" name="13-financeiro.jpg" descr="Financeiro" title="Financei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spacing w:after="100" w:line="360"/>
        <w:jc w:val="both"/>
      </w:pPr>
      <w:r>
        <w:rPr>
          <w:rFonts w:ascii="Arial" w:cs="Arial" w:eastAsia="Arial" w:hAnsi="Arial"/>
        </w:rPr>
        <w:t xml:space="preserve">DRE, fluxo de caixa, curva ABC e demais análises.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30 – Relatórios</w:t>
      </w:r>
    </w:p>
    <w:p>
      <w:pPr>
        <w:keepNext/>
        <w:jc w:val="center"/>
      </w:pPr>
      <w:r>
        <w:drawing>
          <wp:inline distT="0" distB="0" distL="0" distR="0">
            <wp:extent cx="5715000" cy="3571875"/>
            <wp:effectExtent t="0" r="0" b="0" l="0"/>
            <wp:docPr id="30" name="14-relatorios.jpg" descr="Relatórios" title="Relatór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spacing w:after="100" w:line="360"/>
        <w:jc w:val="both"/>
      </w:pPr>
      <w:r>
        <w:rPr>
          <w:rFonts w:ascii="Arial" w:cs="Arial" w:eastAsia="Arial" w:hAnsi="Arial"/>
        </w:rPr>
        <w:t xml:space="preserve">Ponto de equilíbrio e simulador de cenários.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31 – Planejamento</w:t>
      </w:r>
    </w:p>
    <w:p>
      <w:pPr>
        <w:keepNext/>
        <w:jc w:val="center"/>
      </w:pPr>
      <w:r>
        <w:drawing>
          <wp:inline distT="0" distB="0" distL="0" distR="0">
            <wp:extent cx="5715000" cy="3571875"/>
            <wp:effectExtent t="0" r="0" b="0" l="0"/>
            <wp:docPr id="31" name="15-planejamento.jpg" descr="Planejamento" title="Planejam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spacing w:after="100" w:line="360"/>
        <w:jc w:val="both"/>
      </w:pPr>
      <w:r>
        <w:rPr>
          <w:rFonts w:ascii="Arial" w:cs="Arial" w:eastAsia="Arial" w:hAnsi="Arial"/>
        </w:rPr>
        <w:t xml:space="preserve">Margem, lucro por hora e classificação dos serviços.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32 – Serviços e Preços</w:t>
      </w:r>
    </w:p>
    <w:p>
      <w:pPr>
        <w:keepNext/>
        <w:jc w:val="center"/>
      </w:pPr>
      <w:r>
        <w:drawing>
          <wp:inline distT="0" distB="0" distL="0" distR="0">
            <wp:extent cx="5715000" cy="3571875"/>
            <wp:effectExtent t="0" r="0" b="0" l="0"/>
            <wp:docPr id="32" name="16-servicos.jpg" descr="Serviços e Preços" title="Serviços e Preç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spacing w:after="100" w:line="360"/>
        <w:jc w:val="both"/>
      </w:pPr>
      <w:r>
        <w:rPr>
          <w:rFonts w:ascii="Arial" w:cs="Arial" w:eastAsia="Arial" w:hAnsi="Arial"/>
        </w:rPr>
        <w:t xml:space="preserve">Usuários, perfis e módulos permitidos.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33 – Usuários e Permissões</w:t>
      </w:r>
    </w:p>
    <w:p>
      <w:pPr>
        <w:keepNext/>
        <w:jc w:val="center"/>
      </w:pPr>
      <w:r>
        <w:drawing>
          <wp:inline distT="0" distB="0" distL="0" distR="0">
            <wp:extent cx="5715000" cy="3571875"/>
            <wp:effectExtent t="0" r="0" b="0" l="0"/>
            <wp:docPr id="33" name="17-usuarios.jpg" descr="Usuários e Permissões" title="Usuários e Permissõ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spacing w:after="100" w:line="360"/>
        <w:jc w:val="both"/>
      </w:pPr>
      <w:r>
        <w:rPr>
          <w:rFonts w:ascii="Arial" w:cs="Arial" w:eastAsia="Arial" w:hAnsi="Arial"/>
        </w:rPr>
        <w:t xml:space="preserve">Dados da empresa, metas e backup.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34 – Configurações</w:t>
      </w:r>
    </w:p>
    <w:p>
      <w:pPr>
        <w:keepNext/>
        <w:jc w:val="center"/>
      </w:pPr>
      <w:r>
        <w:drawing>
          <wp:inline distT="0" distB="0" distL="0" distR="0">
            <wp:extent cx="5715000" cy="3571875"/>
            <wp:effectExtent t="0" r="0" b="0" l="0"/>
            <wp:docPr id="34" name="18-configuracoes.jpg" descr="Configurações" title="Configuraçõ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spacing w:after="100" w:line="360"/>
        <w:jc w:val="both"/>
      </w:pPr>
      <w:r>
        <w:rPr>
          <w:rFonts w:ascii="Arial" w:cs="Arial" w:eastAsia="Arial" w:hAnsi="Arial"/>
        </w:rPr>
        <w:t xml:space="preserve">MRR, churn, inadimplência, CAC, LTV e insights da carteira.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35 – Console – Visão da plataforma</w:t>
      </w:r>
    </w:p>
    <w:p>
      <w:pPr>
        <w:keepNext/>
        <w:jc w:val="center"/>
      </w:pPr>
      <w:r>
        <w:drawing>
          <wp:inline distT="0" distB="0" distL="0" distR="0">
            <wp:extent cx="5715000" cy="3571875"/>
            <wp:effectExtent t="0" r="0" b="0" l="0"/>
            <wp:docPr id="35" name="20-console-visao.jpg" descr="Console – Visão da plataforma" title="Console – Visão da platafor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spacing w:after="100" w:line="360"/>
        <w:jc w:val="both"/>
      </w:pPr>
      <w:r>
        <w:rPr>
          <w:rFonts w:ascii="Arial" w:cs="Arial" w:eastAsia="Arial" w:hAnsi="Arial"/>
        </w:rPr>
        <w:t xml:space="preserve">Carteira com plano, mensalidade, status, uso e saúde da conta.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36 – Console – Empresas assinantes</w:t>
      </w:r>
    </w:p>
    <w:p>
      <w:pPr>
        <w:keepNext/>
        <w:jc w:val="center"/>
      </w:pPr>
      <w:r>
        <w:drawing>
          <wp:inline distT="0" distB="0" distL="0" distR="0">
            <wp:extent cx="5715000" cy="3571875"/>
            <wp:effectExtent t="0" r="0" b="0" l="0"/>
            <wp:docPr id="36" name="21-console-assinantes.jpg" descr="Console – Empresas assinantes" title="Console – Empresas assina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spacing w:after="100" w:line="360"/>
        <w:jc w:val="both"/>
      </w:pPr>
      <w:r>
        <w:rPr>
          <w:rFonts w:ascii="Arial" w:cs="Arial" w:eastAsia="Arial" w:hAnsi="Arial"/>
        </w:rPr>
        <w:t xml:space="preserve">Plano, ciclo, extras, cobrança automática e resumo da mensalidade.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37 – Console – cadastro de nova empresa</w:t>
      </w:r>
    </w:p>
    <w:p>
      <w:pPr>
        <w:keepNext/>
        <w:jc w:val="center"/>
      </w:pPr>
      <w:r>
        <w:drawing>
          <wp:inline distT="0" distB="0" distL="0" distR="0">
            <wp:extent cx="5715000" cy="3571875"/>
            <wp:effectExtent t="0" r="0" b="0" l="0"/>
            <wp:docPr id="37" name="21b-console-nova-empresa.jpg" descr="Console – cadastro de nova empresa" title="Console – cadastro de nova empre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spacing w:after="100" w:line="360"/>
        <w:jc w:val="both"/>
      </w:pPr>
      <w:r>
        <w:rPr>
          <w:rFonts w:ascii="Arial" w:cs="Arial" w:eastAsia="Arial" w:hAnsi="Arial"/>
        </w:rPr>
        <w:t xml:space="preserve">Faturas, histórico, módulos em uso e cobrança automática no Asaas.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38 – Console – detalhe da empresa</w:t>
      </w:r>
    </w:p>
    <w:p>
      <w:pPr>
        <w:keepNext/>
        <w:jc w:val="center"/>
      </w:pPr>
      <w:r>
        <w:drawing>
          <wp:inline distT="0" distB="0" distL="0" distR="0">
            <wp:extent cx="5715000" cy="3571875"/>
            <wp:effectExtent t="0" r="0" b="0" l="0"/>
            <wp:docPr id="38" name="22-console-detalhe.jpg" descr="Console – detalhe da empresa" title="Console – detalhe da empre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spacing w:after="100" w:line="360"/>
        <w:jc w:val="both"/>
      </w:pPr>
      <w:r>
        <w:rPr>
          <w:rFonts w:ascii="Arial" w:cs="Arial" w:eastAsia="Arial" w:hAnsi="Arial"/>
        </w:rPr>
        <w:t xml:space="preserve">Planos, matriz de módulos × adoção e simulador de reajuste.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39 – Console – Planos e preços</w:t>
      </w:r>
    </w:p>
    <w:p>
      <w:pPr>
        <w:keepNext/>
        <w:jc w:val="center"/>
      </w:pPr>
      <w:r>
        <w:drawing>
          <wp:inline distT="0" distB="0" distL="0" distR="0">
            <wp:extent cx="5715000" cy="3571875"/>
            <wp:effectExtent t="0" r="0" b="0" l="0"/>
            <wp:docPr id="39" name="23-console-planos.jpg" descr="Console – Planos e preços" title="Console – Planos e preç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spacing w:after="100" w:line="360"/>
        <w:jc w:val="both"/>
      </w:pPr>
      <w:r>
        <w:rPr>
          <w:rFonts w:ascii="Arial" w:cs="Arial" w:eastAsia="Arial" w:hAnsi="Arial"/>
        </w:rPr>
        <w:t xml:space="preserve">Faturas, régua de inadimplência e painel da integração Asaas.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40 – Console – Faturamento SaaS</w:t>
      </w:r>
    </w:p>
    <w:p>
      <w:pPr>
        <w:keepNext/>
        <w:jc w:val="center"/>
      </w:pPr>
      <w:r>
        <w:drawing>
          <wp:inline distT="0" distB="0" distL="0" distR="0">
            <wp:extent cx="5715000" cy="3571875"/>
            <wp:effectExtent t="0" r="0" b="0" l="0"/>
            <wp:docPr id="40" name="24-console-faturas.jpg" descr="Console – Faturamento SaaS" title="Console – Faturamento Sa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spacing w:after="100" w:line="360"/>
        <w:jc w:val="both"/>
      </w:pPr>
      <w:r>
        <w:rPr>
          <w:rFonts w:ascii="Arial" w:cs="Arial" w:eastAsia="Arial" w:hAnsi="Arial"/>
        </w:rPr>
        <w:t xml:space="preserve">Oferta de upgrade com o plano que libera o módulo e a diferença de preço.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41 – Empresa assinante – módulo fora do plano</w:t>
      </w:r>
    </w:p>
    <w:p>
      <w:pPr>
        <w:keepNext/>
        <w:jc w:val="center"/>
      </w:pPr>
      <w:r>
        <w:drawing>
          <wp:inline distT="0" distB="0" distL="0" distR="0">
            <wp:extent cx="5715000" cy="3571875"/>
            <wp:effectExtent t="0" r="0" b="0" l="0"/>
            <wp:docPr id="41" name="25-cliente-upgrade.jpg" descr="Empresa assinante – módulo fora do plano" title="Empresa assinante – módulo fora do pla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spacing w:after="100" w:line="360"/>
        <w:jc w:val="both"/>
      </w:pPr>
      <w:r>
        <w:rPr>
          <w:rFonts w:ascii="Arial" w:cs="Arial" w:eastAsia="Arial" w:hAnsi="Arial"/>
        </w:rPr>
        <w:t xml:space="preserve">Plano, mensalidade, usuários e módulos liberados.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42 – Empresa assinante – Minha assinatura</w:t>
      </w:r>
    </w:p>
    <w:p>
      <w:pPr>
        <w:keepNext/>
        <w:jc w:val="center"/>
      </w:pPr>
      <w:r>
        <w:drawing>
          <wp:inline distT="0" distB="0" distL="0" distR="0">
            <wp:extent cx="5715000" cy="3571875"/>
            <wp:effectExtent t="0" r="0" b="0" l="0"/>
            <wp:docPr id="42" name="26-cliente-assinatura.jpg" descr="Empresa assinante – Minha assinatura" title="Empresa assinante – Minha assina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spacing w:after="100" w:line="360"/>
        <w:jc w:val="both"/>
      </w:pPr>
      <w:r>
        <w:rPr>
          <w:rFonts w:ascii="Arial" w:cs="Arial" w:eastAsia="Arial" w:hAnsi="Arial"/>
        </w:rPr>
        <w:t xml:space="preserve">Menu lateral com seções recolhíveis e versão para celular: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43 – Menu lateral com seções recolhíveis</w:t>
      </w:r>
    </w:p>
    <w:p>
      <w:pPr>
        <w:keepNext/>
        <w:jc w:val="center"/>
      </w:pPr>
      <w:r>
        <w:drawing>
          <wp:inline distT="0" distB="0" distL="0" distR="0">
            <wp:extent cx="1085850" cy="4000500"/>
            <wp:effectExtent t="0" r="0" b="0" l="0"/>
            <wp:docPr id="43" name="19-menu-recolhivel.jpg" descr="Menu lateral com seções recolhíveis" title="Menu lateral com seções recolhíve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44 – Painel em celular (390 px)</w:t>
      </w:r>
    </w:p>
    <w:p>
      <w:pPr>
        <w:keepNext/>
        <w:jc w:val="center"/>
      </w:pPr>
      <w:r>
        <w:drawing>
          <wp:inline distT="0" distB="0" distL="0" distR="0">
            <wp:extent cx="2286000" cy="4953000"/>
            <wp:effectExtent t="0" r="0" b="0" l="0"/>
            <wp:docPr id="44" name="28-mobile.jpg" descr="Painel em celular (390 px)" title="Painel em celular (390 px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45 – Menu aberto em celular</w:t>
      </w:r>
    </w:p>
    <w:p>
      <w:pPr>
        <w:keepNext/>
        <w:jc w:val="center"/>
      </w:pPr>
      <w:r>
        <w:drawing>
          <wp:inline distT="0" distB="0" distL="0" distR="0">
            <wp:extent cx="2286000" cy="4953000"/>
            <wp:effectExtent t="0" r="0" b="0" l="0"/>
            <wp:docPr id="45" name="29-mobile-menu.jpg" descr="Menu aberto em celular" title="Menu aberto em cel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1"/>
        <w:pageBreakBefore/>
      </w:pPr>
      <w:bookmarkStart w:name="_Toc40" w:id="40"/>
      <w:r>
        <w:rPr>
          <w:rFonts w:ascii="Arial" w:cs="Arial" w:eastAsia="Arial" w:hAnsi="Arial"/>
        </w:rPr>
        <w:t xml:space="preserve">9 TESTES E REGISTRO DOS RESULTADOS</w:t>
      </w:r>
      <w:bookmarkEnd w:id="40"/>
    </w:p>
    <w:p>
      <w:pPr>
        <w:pStyle w:val="Heading2"/>
      </w:pPr>
      <w:bookmarkStart w:name="_Toc41" w:id="41"/>
      <w:r>
        <w:rPr>
          <w:rFonts w:ascii="Arial" w:cs="Arial" w:eastAsia="Arial" w:hAnsi="Arial"/>
        </w:rPr>
        <w:t xml:space="preserve">9.1 Estratégia de testes</w:t>
      </w:r>
      <w:bookmarkEnd w:id="41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Os testes combinaram cinco níveis, todos automatizados e reexecutáveis: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  <w:b/>
          <w:bCs/>
        </w:rPr>
        <w:t xml:space="preserve">Verificação estática: </w:t>
      </w:r>
      <w:r>
        <w:rPr>
          <w:rFonts w:ascii="Arial" w:cs="Arial" w:eastAsia="Arial" w:hAnsi="Arial"/>
        </w:rPr>
        <w:t xml:space="preserve">compilação TypeScript sem erros (tsc) e build de produção;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  <w:b/>
          <w:bCs/>
        </w:rPr>
        <w:t xml:space="preserve">Testes de API: </w:t>
      </w:r>
      <w:r>
        <w:rPr>
          <w:rFonts w:ascii="Arial" w:cs="Arial" w:eastAsia="Arial" w:hAnsi="Arial"/>
        </w:rPr>
        <w:t xml:space="preserve">requisições diretas ao Worker para validar autenticação, segurança, permissões, multiempresa e regras de plano;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  <w:b/>
          <w:bCs/>
        </w:rPr>
        <w:t xml:space="preserve">Testes de integração: </w:t>
      </w:r>
      <w:r>
        <w:rPr>
          <w:rFonts w:ascii="Arial" w:cs="Arial" w:eastAsia="Arial" w:hAnsi="Arial"/>
        </w:rPr>
        <w:t xml:space="preserve">fluxo completo de cobrança com um simulador da API do Asaas que reproduz os endpoints utilizados e dispara webhooks reais para o Worker;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  <w:b/>
          <w:bCs/>
        </w:rPr>
        <w:t xml:space="preserve">Testes de interface (E2E): </w:t>
      </w:r>
      <w:r>
        <w:rPr>
          <w:rFonts w:ascii="Arial" w:cs="Arial" w:eastAsia="Arial" w:hAnsi="Arial"/>
        </w:rPr>
        <w:t xml:space="preserve">navegação automatizada no Chromium por todas as telas, verificando erros de JavaScript, telas de upgrade, menu e responsividade;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  <w:b/>
          <w:bCs/>
        </w:rPr>
        <w:t xml:space="preserve">Testes não funcionais: </w:t>
      </w:r>
      <w:r>
        <w:rPr>
          <w:rFonts w:ascii="Arial" w:cs="Arial" w:eastAsia="Arial" w:hAnsi="Arial"/>
        </w:rPr>
        <w:t xml:space="preserve">tempo de login e verificação do armazenamento das senhas diretamente no banco.</w:t>
      </w:r>
    </w:p>
    <w:p>
      <w:pPr>
        <w:pStyle w:val="Heading2"/>
      </w:pPr>
      <w:bookmarkStart w:name="_Toc42" w:id="42"/>
      <w:r>
        <w:rPr>
          <w:rFonts w:ascii="Arial" w:cs="Arial" w:eastAsia="Arial" w:hAnsi="Arial"/>
        </w:rPr>
        <w:t xml:space="preserve">9.2 Ambiente de teste</w:t>
      </w:r>
      <w:bookmarkEnd w:id="42"/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27 – Ambiente de execução dos testes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6803"/>
      </w:tblGrid>
      <w:tr>
        <w:trPr>
          <w:tblHeader/>
        </w:trPr>
        <w:tc>
          <w:tcPr>
            <w:tcW w:type="dxa" w:w="226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8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Configuração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da execução</w:t>
            </w:r>
          </w:p>
        </w:tc>
        <w:tc>
          <w:tcPr>
            <w:tcW w:type="dxa" w:w="68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13/10/2026, 22h39 (horário de Brasília)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Servidor</w:t>
            </w:r>
          </w:p>
        </w:tc>
        <w:tc>
          <w:tcPr>
            <w:tcW w:type="dxa" w:w="68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Wrangler 4 (wrangler dev) com D1 local, Worker idêntico ao publicado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Base inicial</w:t>
            </w:r>
          </w:p>
        </w:tc>
        <w:tc>
          <w:tcPr>
            <w:tcW w:type="dxa" w:w="68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Base de demonstração no formato antigo (TechGest, versão de dados 3), para validar a migração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Gateway</w:t>
            </w:r>
          </w:p>
        </w:tc>
        <w:tc>
          <w:tcPr>
            <w:tcW w:type="dxa" w:w="68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Simulador da API v3 do Asaas (clientes, assinaturas, cobranças, webhooks)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Navegador</w:t>
            </w:r>
          </w:p>
        </w:tc>
        <w:tc>
          <w:tcPr>
            <w:tcW w:type="dxa" w:w="68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Chromium (Playwright), 1440 × 900 px e 390 × 844 px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Plataforma</w:t>
            </w:r>
          </w:p>
        </w:tc>
        <w:tc>
          <w:tcPr>
            <w:tcW w:type="dxa" w:w="68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Linux, Node.js 22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</w:pPr>
      <w:bookmarkStart w:name="_Toc43" w:id="43"/>
      <w:r>
        <w:rPr>
          <w:rFonts w:ascii="Arial" w:cs="Arial" w:eastAsia="Arial" w:hAnsi="Arial"/>
        </w:rPr>
        <w:t xml:space="preserve">9.3 Casos de teste e resultados</w:t>
      </w:r>
      <w:bookmarkEnd w:id="43"/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28 – Casos de teste executados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1833"/>
        <w:gridCol w:w="916"/>
        <w:gridCol w:w="1833"/>
        <w:gridCol w:w="2932"/>
        <w:gridCol w:w="1007"/>
      </w:tblGrid>
      <w:tr>
        <w:trPr>
          <w:tblHeader/>
        </w:trPr>
        <w:tc>
          <w:tcPr>
            <w:tcW w:type="dxa" w:w="5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ID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Cenário</w:t>
            </w:r>
          </w:p>
        </w:tc>
        <w:tc>
          <w:tcPr>
            <w:tcW w:type="dxa" w:w="9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Req.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Resultado esperado</w:t>
            </w:r>
          </w:p>
        </w:tc>
        <w:tc>
          <w:tcPr>
            <w:tcW w:type="dxa" w:w="29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Resultado obtido</w:t>
            </w:r>
          </w:p>
        </w:tc>
        <w:tc>
          <w:tcPr>
            <w:tcW w:type="dxa" w:w="10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VT01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Verificação de tipos (tsc)</w:t>
            </w:r>
          </w:p>
        </w:tc>
        <w:tc>
          <w:tcPr>
            <w:tcW w:type="dxa" w:w="9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Sem erros de compilação</w:t>
            </w:r>
          </w:p>
        </w:tc>
        <w:tc>
          <w:tcPr>
            <w:tcW w:type="dxa" w:w="29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Sem erros (12,3 s)</w:t>
            </w:r>
          </w:p>
        </w:tc>
        <w:tc>
          <w:tcPr>
            <w:tcW w:type="dxa" w:w="10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VT02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Build de produção</w:t>
            </w:r>
          </w:p>
        </w:tc>
        <w:tc>
          <w:tcPr>
            <w:tcW w:type="dxa" w:w="9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RNF06, RNF08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Build concluído em arquivo único</w:t>
            </w:r>
          </w:p>
        </w:tc>
        <w:tc>
          <w:tcPr>
            <w:tcW w:type="dxa" w:w="29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982 KB (285 KB gzip) em 8,4 s</w:t>
            </w:r>
          </w:p>
        </w:tc>
        <w:tc>
          <w:tcPr>
            <w:tcW w:type="dxa" w:w="10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CT01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Login com credenciais válidas (base migrada de TechGest)</w:t>
            </w:r>
          </w:p>
        </w:tc>
        <w:tc>
          <w:tcPr>
            <w:tcW w:type="dxa" w:w="9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RF01, RN14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HTTP 200 com token de sessão</w:t>
            </w:r>
          </w:p>
        </w:tc>
        <w:tc>
          <w:tcPr>
            <w:tcW w:type="dxa" w:w="29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HTTP 200, token com 4 partes</w:t>
            </w:r>
          </w:p>
        </w:tc>
        <w:tc>
          <w:tcPr>
            <w:tcW w:type="dxa" w:w="10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CT02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Login com senha incorreta</w:t>
            </w:r>
          </w:p>
        </w:tc>
        <w:tc>
          <w:tcPr>
            <w:tcW w:type="dxa" w:w="9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RF01, RNF03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HTTP 401 sem token</w:t>
            </w:r>
          </w:p>
        </w:tc>
        <w:tc>
          <w:tcPr>
            <w:tcW w:type="dxa" w:w="29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HTTP 401 – E-mail ou senha inválidos.</w:t>
            </w:r>
          </w:p>
        </w:tc>
        <w:tc>
          <w:tcPr>
            <w:tcW w:type="dxa" w:w="10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CT03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Acesso à API sem token</w:t>
            </w:r>
          </w:p>
        </w:tc>
        <w:tc>
          <w:tcPr>
            <w:tcW w:type="dxa" w:w="9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RNF03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HTTP 401</w:t>
            </w:r>
          </w:p>
        </w:tc>
        <w:tc>
          <w:tcPr>
            <w:tcW w:type="dxa" w:w="29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HTTP 401</w:t>
            </w:r>
          </w:p>
        </w:tc>
        <w:tc>
          <w:tcPr>
            <w:tcW w:type="dxa" w:w="10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CT04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Token adulterado (troca de usuário)</w:t>
            </w:r>
          </w:p>
        </w:tc>
        <w:tc>
          <w:tcPr>
            <w:tcW w:type="dxa" w:w="9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RNF03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HTTP 401 (assinatura HMAC inválida)</w:t>
            </w:r>
          </w:p>
        </w:tc>
        <w:tc>
          <w:tcPr>
            <w:tcW w:type="dxa" w:w="29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HTTP 401</w:t>
            </w:r>
          </w:p>
        </w:tc>
        <w:tc>
          <w:tcPr>
            <w:tcW w:type="dxa" w:w="10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CT05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Senhas armazenadas com hash (PBKDF2)</w:t>
            </w:r>
          </w:p>
        </w:tc>
        <w:tc>
          <w:tcPr>
            <w:tcW w:type="dxa" w:w="9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RNF03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Nenhuma senha em texto puro no banco</w:t>
            </w:r>
          </w:p>
        </w:tc>
        <w:tc>
          <w:tcPr>
            <w:tcW w:type="dxa" w:w="29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Nenhuma senha em texto puro; todos os hashes em base64 com 44 caracteres</w:t>
            </w:r>
          </w:p>
        </w:tc>
        <w:tc>
          <w:tcPr>
            <w:tcW w:type="dxa" w:w="10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CT06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Perfil Técnico tenta lançar despesa / registra OS</w:t>
            </w:r>
          </w:p>
        </w:tc>
        <w:tc>
          <w:tcPr>
            <w:tcW w:type="dxa" w:w="9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RF14, RN09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Despesa: 403 · OS: 200</w:t>
            </w:r>
          </w:p>
        </w:tc>
        <w:tc>
          <w:tcPr>
            <w:tcW w:type="dxa" w:w="29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Despesa: 403 · OS: 200</w:t>
            </w:r>
          </w:p>
        </w:tc>
        <w:tc>
          <w:tcPr>
            <w:tcW w:type="dxa" w:w="10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CT07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Inicialização do console (planos e carteira)</w:t>
            </w:r>
          </w:p>
        </w:tc>
        <w:tc>
          <w:tcPr>
            <w:tcW w:type="dxa" w:w="9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RF19, RF21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 planos e carteira de demonstração</w:t>
            </w:r>
          </w:p>
        </w:tc>
        <w:tc>
          <w:tcPr>
            <w:tcW w:type="dxa" w:w="29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 planos, 21 empresas, 111 faturas</w:t>
            </w:r>
          </w:p>
        </w:tc>
        <w:tc>
          <w:tcPr>
            <w:tcW w:type="dxa" w:w="10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CT08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Cadastro de empresa com geração de acesso</w:t>
            </w:r>
          </w:p>
        </w:tc>
        <w:tc>
          <w:tcPr>
            <w:tcW w:type="dxa" w:w="9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RF20, RN03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Empresa criada e senha provisória gerada</w:t>
            </w:r>
          </w:p>
        </w:tc>
        <w:tc>
          <w:tcPr>
            <w:tcW w:type="dxa" w:w="29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HTTP 200, senha com 10 caracteres</w:t>
            </w:r>
          </w:p>
        </w:tc>
        <w:tc>
          <w:tcPr>
            <w:tcW w:type="dxa" w:w="10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CT09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Isolamento de dados entre empresas</w:t>
            </w:r>
          </w:p>
        </w:tc>
        <w:tc>
          <w:tcPr>
            <w:tcW w:type="dxa" w:w="9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RNF04, RN01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Empresa nova não vê dados da principal</w:t>
            </w:r>
          </w:p>
        </w:tc>
        <w:tc>
          <w:tcPr>
            <w:tcW w:type="dxa" w:w="29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Nova: 0 clientes · Principal: 15 clientes</w:t>
            </w:r>
          </w:p>
        </w:tc>
        <w:tc>
          <w:tcPr>
            <w:tcW w:type="dxa" w:w="10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CT10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Gravação em módulo fora do plano (Funil no Básico)</w:t>
            </w:r>
          </w:p>
        </w:tc>
        <w:tc>
          <w:tcPr>
            <w:tcW w:type="dxa" w:w="9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RN02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HTTP 403 – módulo não incluído</w:t>
            </w:r>
          </w:p>
        </w:tc>
        <w:tc>
          <w:tcPr>
            <w:tcW w:type="dxa" w:w="29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HTTP 403 – Módulo não incluído no plano Básico.</w:t>
            </w:r>
          </w:p>
        </w:tc>
        <w:tc>
          <w:tcPr>
            <w:tcW w:type="dxa" w:w="10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CT11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Gravação em módulo incluído no plano (Clientes)</w:t>
            </w:r>
          </w:p>
        </w:tc>
        <w:tc>
          <w:tcPr>
            <w:tcW w:type="dxa" w:w="9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RF03, RN02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HTTP 200</w:t>
            </w:r>
          </w:p>
        </w:tc>
        <w:tc>
          <w:tcPr>
            <w:tcW w:type="dxa" w:w="29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HTTP 200</w:t>
            </w:r>
          </w:p>
        </w:tc>
        <w:tc>
          <w:tcPr>
            <w:tcW w:type="dxa" w:w="10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CT12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Limite de usuários do plano Básico (2)</w:t>
            </w:r>
          </w:p>
        </w:tc>
        <w:tc>
          <w:tcPr>
            <w:tcW w:type="dxa" w:w="9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RN04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2º usuário: 200 · 3º usuário: 403</w:t>
            </w:r>
          </w:p>
        </w:tc>
        <w:tc>
          <w:tcPr>
            <w:tcW w:type="dxa" w:w="29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2º: 200 · 3º: 403</w:t>
            </w:r>
          </w:p>
        </w:tc>
        <w:tc>
          <w:tcPr>
            <w:tcW w:type="dxa" w:w="10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CT13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E-mail já usado em outra empresa</w:t>
            </w:r>
          </w:p>
        </w:tc>
        <w:tc>
          <w:tcPr>
            <w:tcW w:type="dxa" w:w="9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RN05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HTTP 409</w:t>
            </w:r>
          </w:p>
        </w:tc>
        <w:tc>
          <w:tcPr>
            <w:tcW w:type="dxa" w:w="29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HTTP 409 – Este e-mail já é usado por outro usuário da plataforma. (ana@techgest.com)</w:t>
            </w:r>
          </w:p>
        </w:tc>
        <w:tc>
          <w:tcPr>
            <w:tcW w:type="dxa" w:w="10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CT14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Empresa cliente tenta acessar o console</w:t>
            </w:r>
          </w:p>
        </w:tc>
        <w:tc>
          <w:tcPr>
            <w:tcW w:type="dxa" w:w="9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RN06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HTTP 403</w:t>
            </w:r>
          </w:p>
        </w:tc>
        <w:tc>
          <w:tcPr>
            <w:tcW w:type="dxa" w:w="29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HTTP 403</w:t>
            </w:r>
          </w:p>
        </w:tc>
        <w:tc>
          <w:tcPr>
            <w:tcW w:type="dxa" w:w="10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CT15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Login com teste grátis vencido</w:t>
            </w:r>
          </w:p>
        </w:tc>
        <w:tc>
          <w:tcPr>
            <w:tcW w:type="dxa" w:w="9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RN07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HTTP 403 com orientação</w:t>
            </w:r>
          </w:p>
        </w:tc>
        <w:tc>
          <w:tcPr>
            <w:tcW w:type="dxa" w:w="29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HTTP 403 – O período de teste terminou. Fale com o comercial Pivot Hub para contratar um…</w:t>
            </w:r>
          </w:p>
        </w:tc>
        <w:tc>
          <w:tcPr>
            <w:tcW w:type="dxa" w:w="10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CT16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Status da integração</w:t>
            </w:r>
          </w:p>
        </w:tc>
        <w:tc>
          <w:tcPr>
            <w:tcW w:type="dxa" w:w="9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RF23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Configurado em sandbox, com saldo</w:t>
            </w:r>
          </w:p>
        </w:tc>
        <w:tc>
          <w:tcPr>
            <w:tcW w:type="dxa" w:w="29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configurado · sandbox · saldo 1520.35</w:t>
            </w:r>
          </w:p>
        </w:tc>
        <w:tc>
          <w:tcPr>
            <w:tcW w:type="dxa" w:w="10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CT17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Configuração automática do webhook</w:t>
            </w:r>
          </w:p>
        </w:tc>
        <w:tc>
          <w:tcPr>
            <w:tcW w:type="dxa" w:w="9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RF23, RN13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Webhook criado com token de 48 caracteres</w:t>
            </w:r>
          </w:p>
        </w:tc>
        <w:tc>
          <w:tcPr>
            <w:tcW w:type="dxa" w:w="29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HTTP 200 · http://localhost:8799/api/asaas/webhook</w:t>
            </w:r>
          </w:p>
        </w:tc>
        <w:tc>
          <w:tcPr>
            <w:tcW w:type="dxa" w:w="10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CT18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Ativação com CNPJ inválido (empresa demo)</w:t>
            </w:r>
          </w:p>
        </w:tc>
        <w:tc>
          <w:tcPr>
            <w:tcW w:type="dxa" w:w="9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RN11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HTTP 400 sem chamar o Asaas</w:t>
            </w:r>
          </w:p>
        </w:tc>
        <w:tc>
          <w:tcPr>
            <w:tcW w:type="dxa" w:w="29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HTTP 400 – CPF/CNPJ inválido no cadastro da empresa: corrija antes de a…</w:t>
            </w:r>
          </w:p>
        </w:tc>
        <w:tc>
          <w:tcPr>
            <w:tcW w:type="dxa" w:w="10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CT19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Ativação da cobrança automática</w:t>
            </w:r>
          </w:p>
        </w:tc>
        <w:tc>
          <w:tcPr>
            <w:tcW w:type="dxa" w:w="9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RF23, RN10, RN21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Assinatura criada e 1ª fatura com link</w:t>
            </w:r>
          </w:p>
        </w:tc>
        <w:tc>
          <w:tcPr>
            <w:tcW w:type="dxa" w:w="29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sub_3 · R$ 89 · fatura Em aberto venc. 2026-10-20</w:t>
            </w:r>
          </w:p>
        </w:tc>
        <w:tc>
          <w:tcPr>
            <w:tcW w:type="dxa" w:w="10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CT20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Upgrade de plano atualiza a assinatura no Asaas</w:t>
            </w:r>
          </w:p>
        </w:tc>
        <w:tc>
          <w:tcPr>
            <w:tcW w:type="dxa" w:w="9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RN12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Valor 179 na assinatura e na cobrança pendente</w:t>
            </w:r>
          </w:p>
        </w:tc>
        <w:tc>
          <w:tcPr>
            <w:tcW w:type="dxa" w:w="29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assinatura R$ 179 · cobrança R$ 179</w:t>
            </w:r>
          </w:p>
        </w:tc>
        <w:tc>
          <w:tcPr>
            <w:tcW w:type="dxa" w:w="10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CT21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Webhook com token inválido</w:t>
            </w:r>
          </w:p>
        </w:tc>
        <w:tc>
          <w:tcPr>
            <w:tcW w:type="dxa" w:w="9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RNF03, RN13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HTTP 401</w:t>
            </w:r>
          </w:p>
        </w:tc>
        <w:tc>
          <w:tcPr>
            <w:tcW w:type="dxa" w:w="29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HTTP 401</w:t>
            </w:r>
          </w:p>
        </w:tc>
        <w:tc>
          <w:tcPr>
            <w:tcW w:type="dxa" w:w="10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CT22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Rotina diária aplica a régua de inadimplência</w:t>
            </w:r>
          </w:p>
        </w:tc>
        <w:tc>
          <w:tcPr>
            <w:tcW w:type="dxa" w:w="9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RF24, RN08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Empresa com 15 dias de atraso → Inadimplente</w:t>
            </w:r>
          </w:p>
        </w:tc>
        <w:tc>
          <w:tcPr>
            <w:tcW w:type="dxa" w:w="29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status: Inadimplente · régua: {"inadimplentes":1,"suspensas":1}</w:t>
            </w:r>
          </w:p>
        </w:tc>
        <w:tc>
          <w:tcPr>
            <w:tcW w:type="dxa" w:w="10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CT23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Cliente vê mensalidade vencida com link de pagamento</w:t>
            </w:r>
          </w:p>
        </w:tc>
        <w:tc>
          <w:tcPr>
            <w:tcW w:type="dxa" w:w="9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RF25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faturaAberta.vencida = true e link</w:t>
            </w:r>
          </w:p>
        </w:tc>
        <w:tc>
          <w:tcPr>
            <w:tcW w:type="dxa" w:w="29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vencida: true · link: sim</w:t>
            </w:r>
          </w:p>
        </w:tc>
        <w:tc>
          <w:tcPr>
            <w:tcW w:type="dxa" w:w="10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CT24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Pagamento confirmado via webhook</w:t>
            </w:r>
          </w:p>
        </w:tc>
        <w:tc>
          <w:tcPr>
            <w:tcW w:type="dxa" w:w="9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RF23, RN13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Fatura Paga e empresa regularizada (Ativa)</w:t>
            </w:r>
          </w:p>
        </w:tc>
        <w:tc>
          <w:tcPr>
            <w:tcW w:type="dxa" w:w="29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fatura: Paga em 2026-10-14 · empresa: Ativa</w:t>
            </w:r>
          </w:p>
        </w:tc>
        <w:tc>
          <w:tcPr>
            <w:tcW w:type="dxa" w:w="10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CT25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Evento de webhook repetido (idempotência)</w:t>
            </w:r>
          </w:p>
        </w:tc>
        <w:tc>
          <w:tcPr>
            <w:tcW w:type="dxa" w:w="9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RN13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Segundo envio ignorado</w:t>
            </w:r>
          </w:p>
        </w:tc>
        <w:tc>
          <w:tcPr>
            <w:tcW w:type="dxa" w:w="29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{"ok":true,"duplicado":true}</w:t>
            </w:r>
          </w:p>
        </w:tc>
        <w:tc>
          <w:tcPr>
            <w:tcW w:type="dxa" w:w="10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CT26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Execução do Cron Trigger diário</w:t>
            </w:r>
          </w:p>
        </w:tc>
        <w:tc>
          <w:tcPr>
            <w:tcW w:type="dxa" w:w="9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RF24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Rotina executada sem erro</w:t>
            </w:r>
          </w:p>
        </w:tc>
        <w:tc>
          <w:tcPr>
            <w:tcW w:type="dxa" w:w="29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Ran scheduled event</w:t>
            </w:r>
          </w:p>
        </w:tc>
        <w:tc>
          <w:tcPr>
            <w:tcW w:type="dxa" w:w="10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CT27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Base antiga migrada após o primeiro acesso</w:t>
            </w:r>
          </w:p>
        </w:tc>
        <w:tc>
          <w:tcPr>
            <w:tcW w:type="dxa" w:w="9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RNF07, RN14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E-mails @techgest.com convertidos para @pivothub.com</w:t>
            </w:r>
          </w:p>
        </w:tc>
        <w:tc>
          <w:tcPr>
            <w:tcW w:type="dxa" w:w="29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saymon@pivothub.com, ana@pivothub.com, carlos@pivothub.com, …</w:t>
            </w:r>
          </w:p>
        </w:tc>
        <w:tc>
          <w:tcPr>
            <w:tcW w:type="dxa" w:w="10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CT28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Tempo de login até o painel carregado</w:t>
            </w:r>
          </w:p>
        </w:tc>
        <w:tc>
          <w:tcPr>
            <w:tcW w:type="dxa" w:w="9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RNF06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Menos de 3 segundos</w:t>
            </w:r>
          </w:p>
        </w:tc>
        <w:tc>
          <w:tcPr>
            <w:tcW w:type="dxa" w:w="29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0.25 s</w:t>
            </w:r>
          </w:p>
        </w:tc>
        <w:tc>
          <w:tcPr>
            <w:tcW w:type="dxa" w:w="10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CT29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Carregamento das 21 telas do administrador</w:t>
            </w:r>
          </w:p>
        </w:tc>
        <w:tc>
          <w:tcPr>
            <w:tcW w:type="dxa" w:w="9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RNF01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Todas abrem sem erro de JavaScript</w:t>
            </w:r>
          </w:p>
        </w:tc>
        <w:tc>
          <w:tcPr>
            <w:tcW w:type="dxa" w:w="29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 erro(s)</w:t>
            </w:r>
          </w:p>
        </w:tc>
        <w:tc>
          <w:tcPr>
            <w:tcW w:type="dxa" w:w="10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CT30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Menu lateral recolhível com preferência salva</w:t>
            </w:r>
          </w:p>
        </w:tc>
        <w:tc>
          <w:tcPr>
            <w:tcW w:type="dxa" w:w="9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RF26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Seção aberta continua aberta após recarregar</w:t>
            </w:r>
          </w:p>
        </w:tc>
        <w:tc>
          <w:tcPr>
            <w:tcW w:type="dxa" w:w="29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abertas: Operação, Gestão</w:t>
            </w:r>
          </w:p>
        </w:tc>
        <w:tc>
          <w:tcPr>
            <w:tcW w:type="dxa" w:w="10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CT31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Módulo fora do plano mostra oferta de upgrade</w:t>
            </w:r>
          </w:p>
        </w:tc>
        <w:tc>
          <w:tcPr>
            <w:tcW w:type="dxa" w:w="9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RF25, RN02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Tela com o plano que libera o módulo</w:t>
            </w:r>
          </w:p>
        </w:tc>
        <w:tc>
          <w:tcPr>
            <w:tcW w:type="dxa" w:w="29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tela de upgrade exibida</w:t>
            </w:r>
          </w:p>
        </w:tc>
        <w:tc>
          <w:tcPr>
            <w:tcW w:type="dxa" w:w="10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CT32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Layout responsivo em celular (390 px)</w:t>
            </w:r>
          </w:p>
        </w:tc>
        <w:tc>
          <w:tcPr>
            <w:tcW w:type="dxa" w:w="9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RNF02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Menu recolhido em botão e aberto sob demanda</w:t>
            </w:r>
          </w:p>
        </w:tc>
        <w:tc>
          <w:tcPr>
            <w:tcW w:type="dxa" w:w="29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menu abre pelo botão</w:t>
            </w:r>
          </w:p>
        </w:tc>
        <w:tc>
          <w:tcPr>
            <w:tcW w:type="dxa" w:w="10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CT33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Cancelamento encerra a assinatura no Asaas</w:t>
            </w:r>
          </w:p>
        </w:tc>
        <w:tc>
          <w:tcPr>
            <w:tcW w:type="dxa" w:w="9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RN12, RN07</w:t>
            </w:r>
          </w:p>
        </w:tc>
        <w:tc>
          <w:tcPr>
            <w:tcW w:type="dxa" w:w="18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Assinatura removida no gateway e login bloqueado</w:t>
            </w:r>
          </w:p>
        </w:tc>
        <w:tc>
          <w:tcPr>
            <w:tcW w:type="dxa" w:w="29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gateway: encerrada · login: 403</w:t>
            </w:r>
          </w:p>
        </w:tc>
        <w:tc>
          <w:tcPr>
            <w:tcW w:type="dxa" w:w="10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</w:pPr>
      <w:bookmarkStart w:name="_Toc44" w:id="44"/>
      <w:r>
        <w:rPr>
          <w:rFonts w:ascii="Arial" w:cs="Arial" w:eastAsia="Arial" w:hAnsi="Arial"/>
        </w:rPr>
        <w:t xml:space="preserve">9.4 Resumo dos resultados</w:t>
      </w:r>
      <w:bookmarkEnd w:id="44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Foram executados 35 casos (2 verificações estáticas e 33 casos automatizados), com 35 aprovados (100%) e nenhum erro de JavaScript nas 21 telas navegadas. A cobertura por grupo foi: autenticação e segurança (CT01–CT05, CT14, CT21), permissões e planos (CT06, CT10–CT12, CT31), multiempresa (CT09, CT13), assinatura e régua (CT15, CT22, CT23, CT26), integração Asaas (CT16–CT20, CT24, CT25, CT33), migração (CT27), desempenho (CT28) e interface (CT29, CT30, CT32).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Na primeira execução da bateria, 31 de 33 casos foram aprovados. As duas falhas (CT13 e CT27) decorreram de um erro no roteiro de teste, e não do sistema: o CT13 usou um e-mail no novo domínio antes da migração da base principal, o que o tornou livre e permitiu cadastrá-lo em outra empresa; em consequência, o servidor recusou corretamente a migração da base principal (CT27), que criaria um e-mail duplicado — comportamento previsto na regra RN05. Corrigido o roteiro, a segunda execução, sobre uma base nova, teve 33 de 33 casos aprovados.</w:t>
      </w:r>
    </w:p>
    <w:p>
      <w:pPr>
        <w:pStyle w:val="Heading2"/>
      </w:pPr>
      <w:bookmarkStart w:name="_Toc45" w:id="45"/>
      <w:r>
        <w:rPr>
          <w:rFonts w:ascii="Arial" w:cs="Arial" w:eastAsia="Arial" w:hAnsi="Arial"/>
        </w:rPr>
        <w:t xml:space="preserve">9.5 Registro de defeitos encontrados e corrigidos</w:t>
      </w:r>
      <w:bookmarkEnd w:id="45"/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29 – Defeitos identificados durante o desenvolvimento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"/>
        <w:gridCol w:w="2903"/>
        <w:gridCol w:w="2721"/>
        <w:gridCol w:w="2903"/>
      </w:tblGrid>
      <w:tr>
        <w:trPr>
          <w:tblHeader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Defeito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Causa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Correção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D01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Gráfico de pizza do Financeiro não era exibido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Contêiner responsivo sem altura definida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Gráfico com dimensões fixas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D02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Menu de ações das tabelas cortado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Overflow da tabela recortava o menu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Menu com posicionamento fixo na tela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D03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Calendário mensal ultrapassava a largura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Colunas sem largura mínima zero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Grade com minmax(0, 1fr)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D04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Insight de redes sociais comparava formatos de redes diferentes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Comparação entre Reels e Status do WhatsApp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Comparação apenas dentro do Instagram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D05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Ativação de cobrança aceitava CNPJ fictício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Validação apenas do tamanho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Validação dos dígitos verificadores (CPF/CNPJ)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D06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Erros de validação do Asaas retornavam HTTP 502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Erro genérico sem código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Erros de validação com HTTP 400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D07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Empresa nova recebia alerta sugerindo "10.000 vendas"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Ticket médio zero no cálculo da meta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Alerta só com histórico e ticket &gt; 0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D08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Login exibia senha de demonstração e e-mail do administrador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Caixa de atalhos de demonstração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Caixa removida e campo de e-mail vazio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D09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Publicação no Cloudflare sem endereço acessível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workers_dev desativado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workers_dev = true no wrangler.toml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D10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Rótulos e valores colados no console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Classe de alinhamento sem flex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Classe "row between" aplicada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</w:pPr>
      <w:bookmarkStart w:name="_Toc46" w:id="46"/>
      <w:r>
        <w:rPr>
          <w:rFonts w:ascii="Arial" w:cs="Arial" w:eastAsia="Arial" w:hAnsi="Arial"/>
        </w:rPr>
        <w:t xml:space="preserve">9.6 Limitações dos testes</w:t>
      </w:r>
      <w:bookmarkEnd w:id="46"/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A integração foi validada com um simulador da API do Asaas; o teste com a conta sandbox real depende da chave de API do responsável pelo projeto e deve ser executado na implantação.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Não foram realizados testes de carga nem testes em navegadores além do Chromium (Firefox e Safari).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Não houve teste de usabilidade com usuários reais; recomenda-se uma rodada com 3 a 5 empresas-piloto medindo tempo para emitir orçamento e abrir OS.</w:t>
      </w:r>
    </w:p>
    <w:p>
      <w:pPr>
        <w:pStyle w:val="Heading1"/>
        <w:pageBreakBefore/>
      </w:pPr>
      <w:bookmarkStart w:name="_Toc47" w:id="47"/>
      <w:r>
        <w:rPr>
          <w:rFonts w:ascii="Arial" w:cs="Arial" w:eastAsia="Arial" w:hAnsi="Arial"/>
        </w:rPr>
        <w:t xml:space="preserve">10 CONSIDERAÇÕES FINAIS</w:t>
      </w:r>
      <w:bookmarkEnd w:id="47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O Pivot Hub atingiu o objetivo de oferecer, em uma única plataforma web, a gestão comercial e operacional de pequenas empresas de serviços, com indicadores que apontam onde agir, e de viabilizar sua comercialização como SaaS por planos, com cobrança recorrente automatizada. Foram implementados 17 módulos para a empresa assinante e 4 telas de console para o fornecedor, com regras de negócio aplicadas no servidor, isolamento multiempresa e integração com o Asaas. Os 35 casos de teste registrados foram aprovados na execução final.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Como limitações, destacam-se a validação da cobrança apenas em ambiente simulado, a ausência de testes com usuários reais e o fato de os ganhos de negócio descritos no capítulo 2 ainda serem hipóteses, que devem ser medidas pelos próprios indicadores do sistema após a implantação em empresas-piloto.</w:t>
      </w:r>
    </w:p>
    <w:p>
      <w:pPr>
        <w:pStyle w:val="Heading2"/>
      </w:pPr>
      <w:bookmarkStart w:name="_Toc48" w:id="48"/>
      <w:r>
        <w:rPr>
          <w:rFonts w:ascii="Arial" w:cs="Arial" w:eastAsia="Arial" w:hAnsi="Arial"/>
        </w:rPr>
        <w:t xml:space="preserve">10.1 Trabalhos futuros</w:t>
      </w:r>
      <w:bookmarkEnd w:id="48"/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Emissão de nota fiscal de serviço (NFS-e) integrada ao faturamento;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Conciliação bancária e importação de extratos;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Aplicativo instalável (PWA) com notificações de OS e tarefas;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Importação automática de métricas de redes sociais pelas APIs oficiais;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Envio de propostas e cobranças pelo WhatsApp Business;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Geração automática do contrato de licença a partir dos dados do console;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Testes de usabilidade e de carga, e validação da cobrança com a conta Asaas em produção.</w:t>
      </w:r>
    </w:p>
    <w:p>
      <w:pPr>
        <w:pStyle w:val="Heading1"/>
        <w:pageBreakBefore/>
        <w:jc w:val="center"/>
      </w:pPr>
      <w:bookmarkStart w:name="_Toc49" w:id="49"/>
      <w:r>
        <w:rPr>
          <w:rFonts w:ascii="Arial" w:cs="Arial" w:eastAsia="Arial" w:hAnsi="Arial"/>
        </w:rPr>
        <w:t xml:space="preserve">REFERÊNCIAS</w:t>
      </w:r>
      <w:bookmarkEnd w:id="49"/>
    </w:p>
    <w:p>
      <w:pPr>
        <w:spacing w:after="200" w:line="240"/>
        <w:jc w:val="left"/>
      </w:pPr>
      <w:r>
        <w:rPr>
          <w:rFonts w:ascii="Arial" w:cs="Arial" w:eastAsia="Arial" w:hAnsi="Arial"/>
        </w:rPr>
        <w:t xml:space="preserve">ASSOCIAÇÃO BRASILEIRA DE NORMAS TÉCNICAS. NBR 6023: informação e documentação: referências: elaboração. Rio de Janeiro: ABNT, 2018.</w:t>
      </w:r>
    </w:p>
    <w:p>
      <w:pPr>
        <w:spacing w:after="200" w:line="240"/>
        <w:jc w:val="left"/>
      </w:pPr>
      <w:r>
        <w:rPr>
          <w:rFonts w:ascii="Arial" w:cs="Arial" w:eastAsia="Arial" w:hAnsi="Arial"/>
        </w:rPr>
        <w:t xml:space="preserve">ASSOCIAÇÃO BRASILEIRA DE NORMAS TÉCNICAS. NBR 14724: informação e documentação: trabalhos acadêmicos: apresentação. Rio de Janeiro: ABNT, 2011.</w:t>
      </w:r>
    </w:p>
    <w:p>
      <w:pPr>
        <w:spacing w:after="200" w:line="240"/>
        <w:jc w:val="left"/>
      </w:pPr>
      <w:r>
        <w:rPr>
          <w:rFonts w:ascii="Arial" w:cs="Arial" w:eastAsia="Arial" w:hAnsi="Arial"/>
        </w:rPr>
        <w:t xml:space="preserve">ASAAS. Documentação da API Asaas v3. Disponível em: https://docs.asaas.com/. Acesso em: 13 out. 2026.</w:t>
      </w:r>
    </w:p>
    <w:p>
      <w:pPr>
        <w:spacing w:after="200" w:line="240"/>
        <w:jc w:val="left"/>
      </w:pPr>
      <w:r>
        <w:rPr>
          <w:rFonts w:ascii="Arial" w:cs="Arial" w:eastAsia="Arial" w:hAnsi="Arial"/>
        </w:rPr>
        <w:t xml:space="preserve">BRASIL. Lei nº 9.609, de 19 de fevereiro de 1998. Dispõe sobre a proteção da propriedade intelectual de programa de computador. Brasília, DF: Presidência da República, 1998.</w:t>
      </w:r>
    </w:p>
    <w:p>
      <w:pPr>
        <w:spacing w:after="200" w:line="240"/>
        <w:jc w:val="left"/>
      </w:pPr>
      <w:r>
        <w:rPr>
          <w:rFonts w:ascii="Arial" w:cs="Arial" w:eastAsia="Arial" w:hAnsi="Arial"/>
        </w:rPr>
        <w:t xml:space="preserve">BRASIL. Lei nº 12.965, de 23 de abril de 2014. Estabelece princípios, garantias, direitos e deveres para o uso da Internet no Brasil. Brasília, DF: Presidência da República, 2014.</w:t>
      </w:r>
    </w:p>
    <w:p>
      <w:pPr>
        <w:spacing w:after="200" w:line="240"/>
        <w:jc w:val="left"/>
      </w:pPr>
      <w:r>
        <w:rPr>
          <w:rFonts w:ascii="Arial" w:cs="Arial" w:eastAsia="Arial" w:hAnsi="Arial"/>
        </w:rPr>
        <w:t xml:space="preserve">BRASIL. Lei nº 13.709, de 14 de agosto de 2018. Lei Geral de Proteção de Dados Pessoais (LGPD). Brasília, DF: Presidência da República, 2018.</w:t>
      </w:r>
    </w:p>
    <w:p>
      <w:pPr>
        <w:spacing w:after="200" w:line="240"/>
        <w:jc w:val="left"/>
      </w:pPr>
      <w:r>
        <w:rPr>
          <w:rFonts w:ascii="Arial" w:cs="Arial" w:eastAsia="Arial" w:hAnsi="Arial"/>
        </w:rPr>
        <w:t xml:space="preserve">CLOUDFLARE. Cloudflare Workers documentation. Disponível em: https://developers.cloudflare.com/workers/. Acesso em: 13 out. 2026.</w:t>
      </w:r>
    </w:p>
    <w:p>
      <w:pPr>
        <w:spacing w:after="200" w:line="240"/>
        <w:jc w:val="left"/>
      </w:pPr>
      <w:r>
        <w:rPr>
          <w:rFonts w:ascii="Arial" w:cs="Arial" w:eastAsia="Arial" w:hAnsi="Arial"/>
        </w:rPr>
        <w:t xml:space="preserve">CLOUDFLARE. Cloudflare D1 documentation. Disponível em: https://developers.cloudflare.com/d1/. Acesso em: 13 out. 2026.</w:t>
      </w:r>
    </w:p>
    <w:p>
      <w:pPr>
        <w:spacing w:after="200" w:line="240"/>
        <w:jc w:val="left"/>
      </w:pPr>
      <w:r>
        <w:rPr>
          <w:rFonts w:ascii="Arial" w:cs="Arial" w:eastAsia="Arial" w:hAnsi="Arial"/>
        </w:rPr>
        <w:t xml:space="preserve">ELMASRI, R.; NAVATHE, S. B. Sistemas de banco de dados. 7. ed. São Paulo: Pearson, 2018.</w:t>
      </w:r>
    </w:p>
    <w:p>
      <w:pPr>
        <w:spacing w:after="200" w:line="240"/>
        <w:jc w:val="left"/>
      </w:pPr>
      <w:r>
        <w:rPr>
          <w:rFonts w:ascii="Arial" w:cs="Arial" w:eastAsia="Arial" w:hAnsi="Arial"/>
        </w:rPr>
        <w:t xml:space="preserve">META PLATFORMS. React: the library for web and native user interfaces. Disponível em: https://react.dev/. Acesso em: 13 out. 2026.</w:t>
      </w:r>
    </w:p>
    <w:p>
      <w:pPr>
        <w:spacing w:after="200" w:line="240"/>
        <w:jc w:val="left"/>
      </w:pPr>
      <w:r>
        <w:rPr>
          <w:rFonts w:ascii="Arial" w:cs="Arial" w:eastAsia="Arial" w:hAnsi="Arial"/>
        </w:rPr>
        <w:t xml:space="preserve">MICROSOFT. TypeScript documentation. Disponível em: https://www.typescriptlang.org/docs/. Acesso em: 13 out. 2026.</w:t>
      </w:r>
    </w:p>
    <w:p>
      <w:pPr>
        <w:spacing w:after="200" w:line="240"/>
        <w:jc w:val="left"/>
      </w:pPr>
      <w:r>
        <w:rPr>
          <w:rFonts w:ascii="Arial" w:cs="Arial" w:eastAsia="Arial" w:hAnsi="Arial"/>
        </w:rPr>
        <w:t xml:space="preserve">NATIONAL INSTITUTE OF STANDARDS AND TECHNOLOGY. SP 800-132: recommendation for password-based key derivation. Gaithersburg: NIST, 2010.</w:t>
      </w:r>
    </w:p>
    <w:p>
      <w:pPr>
        <w:spacing w:after="200" w:line="240"/>
        <w:jc w:val="left"/>
      </w:pPr>
      <w:r>
        <w:rPr>
          <w:rFonts w:ascii="Arial" w:cs="Arial" w:eastAsia="Arial" w:hAnsi="Arial"/>
        </w:rPr>
        <w:t xml:space="preserve">OBJECT MANAGEMENT GROUP. Unified Modeling Language (UML) specification: version 2.5.1. Needham: OMG, 2017.</w:t>
      </w:r>
    </w:p>
    <w:p>
      <w:pPr>
        <w:spacing w:after="200" w:line="240"/>
        <w:jc w:val="left"/>
      </w:pPr>
      <w:r>
        <w:rPr>
          <w:rFonts w:ascii="Arial" w:cs="Arial" w:eastAsia="Arial" w:hAnsi="Arial"/>
        </w:rPr>
        <w:t xml:space="preserve">OWASP FOUNDATION. Password storage cheat sheet. Disponível em: https://cheatsheetseries.owasp.org/cheatsheets/Password_Storage_Cheat_Sheet.html. Acesso em: 13 out. 2026.</w:t>
      </w:r>
    </w:p>
    <w:p>
      <w:pPr>
        <w:spacing w:after="200" w:line="240"/>
        <w:jc w:val="left"/>
      </w:pPr>
      <w:r>
        <w:rPr>
          <w:rFonts w:ascii="Arial" w:cs="Arial" w:eastAsia="Arial" w:hAnsi="Arial"/>
        </w:rPr>
        <w:t xml:space="preserve">PRESSMAN, R. S.; MAXIM, B. R. Engenharia de software: uma abordagem profissional. 9. ed. Porto Alegre: AMGH, 2021.</w:t>
      </w:r>
    </w:p>
    <w:p>
      <w:pPr>
        <w:spacing w:after="200" w:line="240"/>
        <w:jc w:val="left"/>
      </w:pPr>
      <w:r>
        <w:rPr>
          <w:rFonts w:ascii="Arial" w:cs="Arial" w:eastAsia="Arial" w:hAnsi="Arial"/>
        </w:rPr>
        <w:t xml:space="preserve">SKOK, D. SaaS metrics 2.0: a guide to measuring and improving what matters. For Entrepreneurs, 2013. Disponível em: https://www.forentrepreneurs.com/saas-metrics-2/. Acesso em: 13 out. 2026.</w:t>
      </w:r>
    </w:p>
    <w:p>
      <w:pPr>
        <w:spacing w:after="200" w:line="240"/>
        <w:jc w:val="left"/>
      </w:pPr>
      <w:r>
        <w:rPr>
          <w:rFonts w:ascii="Arial" w:cs="Arial" w:eastAsia="Arial" w:hAnsi="Arial"/>
        </w:rPr>
        <w:t xml:space="preserve">SOMMERVILLE, I. Engenharia de software. 10. ed. São Paulo: Pearson, 2019.</w:t>
      </w:r>
    </w:p>
    <w:p>
      <w:pPr>
        <w:pStyle w:val="Heading1"/>
        <w:pageBreakBefore/>
        <w:jc w:val="center"/>
      </w:pPr>
      <w:bookmarkStart w:name="_Toc50" w:id="50"/>
      <w:r>
        <w:rPr>
          <w:rFonts w:ascii="Arial" w:cs="Arial" w:eastAsia="Arial" w:hAnsi="Arial"/>
        </w:rPr>
        <w:t xml:space="preserve">APÊNDICE A – GLOSSÁRIO</w:t>
      </w:r>
      <w:bookmarkEnd w:id="50"/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30 – Glossário de termos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7257"/>
      </w:tblGrid>
      <w:tr>
        <w:trPr>
          <w:tblHeader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Termo</w:t>
            </w:r>
          </w:p>
        </w:tc>
        <w:tc>
          <w:tcPr>
            <w:tcW w:type="dxa" w:w="725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SaaS</w:t>
            </w:r>
          </w:p>
        </w:tc>
        <w:tc>
          <w:tcPr>
            <w:tcW w:type="dxa" w:w="725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Software como Serviço: software acessado pela internet mediante assinatura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Tenant</w:t>
            </w:r>
          </w:p>
        </w:tc>
        <w:tc>
          <w:tcPr>
            <w:tcW w:type="dxa" w:w="725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Empresa assinante cuja base de dados é isolada das demais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MRR / ARR</w:t>
            </w:r>
          </w:p>
        </w:tc>
        <w:tc>
          <w:tcPr>
            <w:tcW w:type="dxa" w:w="725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Receita recorrente mensal / anual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ARPA</w:t>
            </w:r>
          </w:p>
        </w:tc>
        <w:tc>
          <w:tcPr>
            <w:tcW w:type="dxa" w:w="725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Receita média por conta (MRR ÷ assinantes pagantes)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Churn</w:t>
            </w:r>
          </w:p>
        </w:tc>
        <w:tc>
          <w:tcPr>
            <w:tcW w:type="dxa" w:w="725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Perda de clientes ou de receita por cancelamento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NRR</w:t>
            </w:r>
          </w:p>
        </w:tc>
        <w:tc>
          <w:tcPr>
            <w:tcW w:type="dxa" w:w="725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Retenção líquida de receita: (MRR inicial + expansão − contração − churn) ÷ MRR inicial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CAC</w:t>
            </w:r>
          </w:p>
        </w:tc>
        <w:tc>
          <w:tcPr>
            <w:tcW w:type="dxa" w:w="725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 de aquisição de cliente: investimento em aquisição ÷ novos clientes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LTV</w:t>
            </w:r>
          </w:p>
        </w:tc>
        <w:tc>
          <w:tcPr>
            <w:tcW w:type="dxa" w:w="725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Valor do cliente ao longo do relacionamento (ARPA ÷ churn médio)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Payback</w:t>
            </w:r>
          </w:p>
        </w:tc>
        <w:tc>
          <w:tcPr>
            <w:tcW w:type="dxa" w:w="725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Meses de mensalidade para recuperar o CAC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NPS</w:t>
            </w:r>
          </w:p>
        </w:tc>
        <w:tc>
          <w:tcPr>
            <w:tcW w:type="dxa" w:w="725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Net Promoter Score: nota de 0 a 10 de recomendação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Webhook</w:t>
            </w:r>
          </w:p>
        </w:tc>
        <w:tc>
          <w:tcPr>
            <w:tcW w:type="dxa" w:w="725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Notificação automática enviada por um sistema a outro quando ocorre um evento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Idempotência</w:t>
            </w:r>
          </w:p>
        </w:tc>
        <w:tc>
          <w:tcPr>
            <w:tcW w:type="dxa" w:w="725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Garantia de que processar o mesmo evento mais de uma vez produz o mesmo resultado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AS-IS / TO-BE</w:t>
            </w:r>
          </w:p>
        </w:tc>
        <w:tc>
          <w:tcPr>
            <w:tcW w:type="dxa" w:w="725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Processo atual / processo proposto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1"/>
        <w:pageBreakBefore/>
        <w:jc w:val="center"/>
      </w:pPr>
      <w:bookmarkStart w:name="_Toc51" w:id="51"/>
      <w:r>
        <w:rPr>
          <w:rFonts w:ascii="Arial" w:cs="Arial" w:eastAsia="Arial" w:hAnsi="Arial"/>
        </w:rPr>
        <w:t xml:space="preserve">ANEXO A – MODELO DE CONTRATO DE LICENÇA DE USO</w:t>
      </w:r>
      <w:bookmarkEnd w:id="51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O modelo de contrato de licença de uso de software na modalidade SaaS encontra-se no repositório, em docs/Contrato-Pivot-Hub.docx. O documento possui quadro-resumo com 39 campos editáveis (contratante, plano, valores, ciclo, forma de pagamento, datas, foro e assinaturas) e texto protegido contra edição, com as cláusulas abaixo, alinhadas às regras implementadas no sistema: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31 – Estrutura do contrato de licença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70"/>
        <w:gridCol w:w="7801"/>
      </w:tblGrid>
      <w:tr>
        <w:trPr>
          <w:tblHeader/>
        </w:trPr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Cláusula</w:t>
            </w:r>
          </w:p>
        </w:tc>
        <w:tc>
          <w:tcPr>
            <w:tcW w:type="dxa" w:w="78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Conteúdo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1–2</w:t>
            </w:r>
          </w:p>
        </w:tc>
        <w:tc>
          <w:tcPr>
            <w:tcW w:type="dxa" w:w="78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Definições e objeto: licença SaaS onerosa, não exclusiva e intransferível (Lei 9.609/1998)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3–4</w:t>
            </w:r>
          </w:p>
        </w:tc>
        <w:tc>
          <w:tcPr>
            <w:tcW w:type="dxa" w:w="78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Planos, módulos, limite de usuários, upgrade/downgrade e teste gratuito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5–6</w:t>
            </w:r>
          </w:p>
        </w:tc>
        <w:tc>
          <w:tcPr>
            <w:tcW w:type="dxa" w:w="78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Preço, cobrança pelo intermediador (Asaas), reajuste anual pelo IPCA, multa de 2%, juros de 1% a.m. e régua de suspensão (10/30/60 dias)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7–8</w:t>
            </w:r>
          </w:p>
        </w:tc>
        <w:tc>
          <w:tcPr>
            <w:tcW w:type="dxa" w:w="78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Vigência, renovação, cancelamento e rescisão (fidelidade anual)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9–11</w:t>
            </w:r>
          </w:p>
        </w:tc>
        <w:tc>
          <w:tcPr>
            <w:tcW w:type="dxa" w:w="78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Disponibilidade de 99% com créditos, suporte e obrigações das partes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12–13</w:t>
            </w:r>
          </w:p>
        </w:tc>
        <w:tc>
          <w:tcPr>
            <w:tcW w:type="dxa" w:w="78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Proteção de dados (LGPD), suboperadores, incidentes, backup, portabilidade e eliminação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14–21</w:t>
            </w:r>
          </w:p>
        </w:tc>
        <w:tc>
          <w:tcPr>
            <w:tcW w:type="dxa" w:w="78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Propriedade intelectual, confidencialidade, limitação de responsabilidade, anticorrupção, força maior, comunicações, disposições gerais e foro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Anexos</w:t>
            </w:r>
          </w:p>
        </w:tc>
        <w:tc>
          <w:tcPr>
            <w:tcW w:type="dxa" w:w="78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 – Planos e módulos; II – Tratamento de dados pessoais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sectPr>
      <w:headerReference w:type="default" r:id="rId6"/>
      <w:pgSz w:w="11906" w:h="16838" w:orient="portrait"/>
      <w:pgMar w:top="1701" w:right="1134" w:bottom="1134" w:left="1701" w:header="708" w:footer="708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09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60" w:before="0"/>
      <w:outlineLvl w:val="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0" w:before="36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120" w:before="240"/>
      <w:outlineLvl w:val="2"/>
    </w:pPr>
    <w:rPr>
      <w:rFonts w:ascii="Arial" w:cs="Arial" w:eastAsia="Arial" w:hAnsi="Arial"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image" Target="media/65250f81560f36736111e7b824beb2a4bc3046c1.png"/><Relationship Id="rId9" Type="http://schemas.openxmlformats.org/officeDocument/2006/relationships/image" Target="media/d4a6d790fce7ade0dbc528f9c414042d31ac7d04.png"/><Relationship Id="rId10" Type="http://schemas.openxmlformats.org/officeDocument/2006/relationships/image" Target="media/432bfed0c3831562b3e3037dd5f735113ef62eb3.png"/><Relationship Id="rId11" Type="http://schemas.openxmlformats.org/officeDocument/2006/relationships/image" Target="media/59b1874c99fa5c093c45f2fba521da08984b6e78.png"/><Relationship Id="rId12" Type="http://schemas.openxmlformats.org/officeDocument/2006/relationships/image" Target="media/f86c0a1b11dff9135d882fb543bf4e834bb43f95.png"/><Relationship Id="rId13" Type="http://schemas.openxmlformats.org/officeDocument/2006/relationships/image" Target="media/765d0ec7a8a8b8335fe0733f71698d61cb99329f.png"/><Relationship Id="rId14" Type="http://schemas.openxmlformats.org/officeDocument/2006/relationships/image" Target="media/0ad663b591f6fcfb830cbee55c7a0c7db970d978.png"/><Relationship Id="rId15" Type="http://schemas.openxmlformats.org/officeDocument/2006/relationships/image" Target="media/922d2a4dca1479bb39b7fb30b1de16e7640c983f.png"/><Relationship Id="rId16" Type="http://schemas.openxmlformats.org/officeDocument/2006/relationships/image" Target="media/0be6f0b6c1358815bee09e134ced506f283304d8.png"/><Relationship Id="rId17" Type="http://schemas.openxmlformats.org/officeDocument/2006/relationships/image" Target="media/61857d595a19d57e867437582bdbbd021c480535.png"/><Relationship Id="rId18" Type="http://schemas.openxmlformats.org/officeDocument/2006/relationships/image" Target="media/a975f39515971a8ee043976611d0df18d64c856f.png"/><Relationship Id="rId19" Type="http://schemas.openxmlformats.org/officeDocument/2006/relationships/image" Target="media/7adaea206a441e7c0d6fd6cc3b6c3c27a26b5295.png"/><Relationship Id="rId20" Type="http://schemas.openxmlformats.org/officeDocument/2006/relationships/image" Target="media/2ab57a0eeb751ab0cdd51268ba3891ab762e99d8.png"/><Relationship Id="rId21" Type="http://schemas.openxmlformats.org/officeDocument/2006/relationships/image" Target="media/5559d73440ab2026758734574fe5ae0c1c89b157.png"/><Relationship Id="rId22" Type="http://schemas.openxmlformats.org/officeDocument/2006/relationships/image" Target="media/0a8cfcbe3d2bbe4676a2835d31f17c3c19aefb8d.jpg"/><Relationship Id="rId23" Type="http://schemas.openxmlformats.org/officeDocument/2006/relationships/image" Target="media/acd331e5ffbe4f6d61ad9049a5e2b621fea5e059.jpg"/><Relationship Id="rId24" Type="http://schemas.openxmlformats.org/officeDocument/2006/relationships/image" Target="media/fab3e2a1c882764fa0fbedd5e254f0833e824a3d.jpg"/><Relationship Id="rId25" Type="http://schemas.openxmlformats.org/officeDocument/2006/relationships/image" Target="media/45f51246d128e3b9ee1975197ebd5c009b916f6f.jpg"/><Relationship Id="rId26" Type="http://schemas.openxmlformats.org/officeDocument/2006/relationships/image" Target="media/10f3bfe0b9c2d6aadfce8b1ab027f634feec82af.jpg"/><Relationship Id="rId27" Type="http://schemas.openxmlformats.org/officeDocument/2006/relationships/image" Target="media/e11336c562634d0a483bbacc9dea0f2192290835.jpg"/><Relationship Id="rId28" Type="http://schemas.openxmlformats.org/officeDocument/2006/relationships/image" Target="media/c7d93b6b41a93a95f9c8610c23a8714e67deefa9.jpg"/><Relationship Id="rId29" Type="http://schemas.openxmlformats.org/officeDocument/2006/relationships/image" Target="media/1b5d623996f2ccaa9471d3b7722398da0f4f5976.jpg"/><Relationship Id="rId30" Type="http://schemas.openxmlformats.org/officeDocument/2006/relationships/image" Target="media/7f7bd84f926b33abcca2f3f23c8b199c0f60fb97.jpg"/><Relationship Id="rId31" Type="http://schemas.openxmlformats.org/officeDocument/2006/relationships/image" Target="media/6497da476b9da354c5fe052242974d4afc473d7b.jpg"/><Relationship Id="rId32" Type="http://schemas.openxmlformats.org/officeDocument/2006/relationships/image" Target="media/9b085f3800af765a44c9d4f0227b6ad5b79a16a0.jpg"/><Relationship Id="rId33" Type="http://schemas.openxmlformats.org/officeDocument/2006/relationships/image" Target="media/740d76da3cec1de6d6ef2767e741128a9b848209.jpg"/><Relationship Id="rId34" Type="http://schemas.openxmlformats.org/officeDocument/2006/relationships/image" Target="media/ae578d443da152621916549dfff321545cccd636.jpg"/><Relationship Id="rId35" Type="http://schemas.openxmlformats.org/officeDocument/2006/relationships/image" Target="media/5ae2988cfcde3417a75949c043e0942cf7b6ba79.jpg"/><Relationship Id="rId36" Type="http://schemas.openxmlformats.org/officeDocument/2006/relationships/image" Target="media/cba6c64864feeaddbb9abf3f04dc1db361c5d49a.jpg"/><Relationship Id="rId37" Type="http://schemas.openxmlformats.org/officeDocument/2006/relationships/image" Target="media/b0b41a3d2835e245463398e99f35c34a8015d4f2.jpg"/><Relationship Id="rId38" Type="http://schemas.openxmlformats.org/officeDocument/2006/relationships/image" Target="media/909991894fc696083e9d683a1a5b3e6f4e04f9a7.jpg"/><Relationship Id="rId39" Type="http://schemas.openxmlformats.org/officeDocument/2006/relationships/image" Target="media/16fc628ef581b00a9cab1ee004e1c2c57c6e72a9.jpg"/><Relationship Id="rId40" Type="http://schemas.openxmlformats.org/officeDocument/2006/relationships/image" Target="media/83b9d1c7651320d1833d2b4ea511a9a3a4b8bd8f.jpg"/><Relationship Id="rId41" Type="http://schemas.openxmlformats.org/officeDocument/2006/relationships/image" Target="media/a459064b719d6a4f34b7d304a7acfda246d88243.jpg"/><Relationship Id="rId42" Type="http://schemas.openxmlformats.org/officeDocument/2006/relationships/image" Target="media/a17c592d279a0bb580048e749090a8232ab192bc.jpg"/><Relationship Id="rId43" Type="http://schemas.openxmlformats.org/officeDocument/2006/relationships/image" Target="media/b7e2239bab3cdc11755015e94e3c562fdebb06fa.jpg"/><Relationship Id="rId44" Type="http://schemas.openxmlformats.org/officeDocument/2006/relationships/image" Target="media/f2fb7871e867eeca03712607b862bf3c1830bff1.jpg"/><Relationship Id="rId45" Type="http://schemas.openxmlformats.org/officeDocument/2006/relationships/image" Target="media/e7ae94ed01322152ba254064703f912a1dfd248a.jpg"/><Relationship Id="rId46" Type="http://schemas.openxmlformats.org/officeDocument/2006/relationships/image" Target="media/346d10ec8c6de5b7b22f43e0825130145bd6ea34.jpg"/><Relationship Id="rId47" Type="http://schemas.openxmlformats.org/officeDocument/2006/relationships/image" Target="media/3bab8c560d0248bfdc651b9f88b65e191816fc4d.jpg"/><Relationship Id="rId48" Type="http://schemas.openxmlformats.org/officeDocument/2006/relationships/image" Target="media/f2cba0bf4613ae066d815875d69cf61785d759e7.jpg"/><Relationship Id="rId49" Type="http://schemas.openxmlformats.org/officeDocument/2006/relationships/image" Target="media/a6cdf1284d46e56bd0e48231c63c18046f305c55.jpg"/><Relationship Id="rId50" Type="http://schemas.openxmlformats.org/officeDocument/2006/relationships/image" Target="media/9087c69ecc02db03f8824ef24ff986f4c3cb288c.jpg"/><Relationship Id="rId51" Type="http://schemas.openxmlformats.org/officeDocument/2006/relationships/image" Target="media/be1693fb2a7be5d1164827c5e84ed5143aaae502.jpg"/><Relationship Id="rId52" Type="http://schemas.openxmlformats.org/officeDocument/2006/relationships/image" Target="media/31b6df9169658ad2e0bc9dc754b03c318c6a8c07.jpg"/><Relationship Id="rId5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Pivot Hub – Documentação técnica do TCC</dc:title>
  <dc:creator>Pivot Hub</dc:creator>
  <dc:description>Documentação técnica do projeto Pivot Hub</dc:description>
  <cp:lastModifiedBy>Un-named</cp:lastModifiedBy>
  <cp:revision>1</cp:revision>
  <dcterms:created xsi:type="dcterms:W3CDTF">2026-10-14T01:46:39.097Z</dcterms:created>
  <dcterms:modified xsi:type="dcterms:W3CDTF">2026-10-14T01:46:39.098Z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