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Aptos" w:hAnsi="Aptos"/>
          <w:b/>
          <w:i w:val="0"/>
          <w:color w:val="B7673C"/>
          <w:sz w:val="24"/>
        </w:rPr>
        <w:t>RAIZ VIVA MERCADOS</w:t>
      </w:r>
    </w:p>
    <w:p>
      <w:pPr>
        <w:spacing w:after="160"/>
        <w:jc w:val="center"/>
      </w:pPr>
      <w:r>
        <w:rPr>
          <w:rFonts w:ascii="Aptos" w:hAnsi="Aptos"/>
          <w:b/>
          <w:i w:val="0"/>
          <w:color w:val="205B42"/>
          <w:sz w:val="62"/>
        </w:rPr>
        <w:t>FreshFlow</w:t>
      </w:r>
    </w:p>
    <w:p>
      <w:pPr>
        <w:spacing w:after="440"/>
        <w:jc w:val="center"/>
      </w:pPr>
      <w:r>
        <w:rPr>
          <w:rFonts w:ascii="Aptos" w:hAnsi="Aptos"/>
          <w:b w:val="0"/>
          <w:i w:val="0"/>
          <w:color w:val="173A2D"/>
          <w:sz w:val="30"/>
        </w:rPr>
        <w:t>Arquitetura Corporativa orientada pelo TOGAF ADM</w:t>
        <w:br/>
        <w:t>para reduzir desperdício e ruptura de perecíveis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5" w:color="B8CFBE"/>
          <w:left w:val="single" w:sz="5" w:color="B8CFBE"/>
          <w:bottom w:val="single" w:sz="5" w:color="B8CFBE"/>
          <w:right w:val="single" w:sz="5" w:color="B8CFBE"/>
          <w:insideH w:val="single" w:sz="5" w:color="B8CFBE"/>
          <w:insideV w:val="single" w:sz="5" w:color="B8CFB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4EFE6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i w:val="0"/>
                <w:color w:val="205B42"/>
                <w:sz w:val="20"/>
              </w:rPr>
              <w:t xml:space="preserve">PROPOSTA DE VALOR: </w:t>
            </w:r>
            <w:r>
              <w:rPr>
                <w:rFonts w:ascii="Aptos" w:hAnsi="Aptos"/>
                <w:b w:val="0"/>
                <w:i w:val="0"/>
                <w:color w:val="173A2D"/>
                <w:sz w:val="20"/>
              </w:rPr>
              <w:t>Unificar sinais de venda, estoque, validade, promoções, clima e sazonalidade para recomendar a reposição mais adequada por SKU, loja e dia, mantendo a decisão humana explicável e auditável.</w:t>
            </w:r>
          </w:p>
        </w:tc>
      </w:tr>
    </w:tbl>
    <w:p>
      <w:pPr>
        <w:spacing w:after="60"/>
      </w:pPr>
    </w:p>
    <w:p>
      <w:pPr>
        <w:spacing w:before="1480"/>
        <w:jc w:val="center"/>
      </w:pPr>
      <w:r>
        <w:rPr>
          <w:rFonts w:ascii="Aptos" w:hAnsi="Aptos"/>
          <w:b w:val="0"/>
          <w:i w:val="0"/>
          <w:color w:val="5C6A63"/>
          <w:sz w:val="20"/>
        </w:rPr>
        <w:t>Documento técnico baseado no modelo ArchiMate do projeto</w:t>
        <w:br/>
        <w:t>12 de agosto de 2026</w:t>
      </w:r>
    </w:p>
    <w:p>
      <w:r>
        <w:br w:type="page"/>
      </w:r>
    </w:p>
    <w:p>
      <w:pPr>
        <w:keepNext/>
        <w:spacing w:before="360" w:after="140"/>
      </w:pPr>
      <w:r>
        <w:rPr>
          <w:rFonts w:ascii="Aptos" w:hAnsi="Aptos"/>
          <w:b/>
          <w:i w:val="0"/>
          <w:color w:val="205B42"/>
          <w:sz w:val="32"/>
        </w:rPr>
        <w:t>Resumo executivo</w:t>
      </w:r>
    </w:p>
    <w:p>
      <w:pPr>
        <w:spacing w:before="0" w:after="140" w:line="269" w:lineRule="auto"/>
      </w:pPr>
      <w:r>
        <w:rPr>
          <w:rFonts w:ascii="Aptos" w:hAnsi="Aptos"/>
          <w:b w:val="0"/>
          <w:i w:val="0"/>
          <w:color w:val="173A2D"/>
          <w:sz w:val="22"/>
        </w:rPr>
        <w:t>A Raiz Viva Mercados enfrenta um problema operacional recorrente em perecíveis: excesso de descarte e ruptura de estoque coexistem porque a previsão depende de planilhas, experiência individual e sistemas que não conversam entre si. O FreshFlow é a arquitetura proposta para transformar dados operacionais em decisões de reposição rastreáveis.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5" w:color="B8CFBE"/>
          <w:left w:val="single" w:sz="5" w:color="B8CFBE"/>
          <w:bottom w:val="single" w:sz="5" w:color="B8CFBE"/>
          <w:right w:val="single" w:sz="5" w:color="B8CFBE"/>
          <w:insideH w:val="single" w:sz="5" w:color="B8CFBE"/>
          <w:insideV w:val="single" w:sz="5" w:color="B8CFB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4EFE6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i w:val="0"/>
                <w:color w:val="205B42"/>
                <w:sz w:val="20"/>
              </w:rPr>
              <w:t xml:space="preserve">DECISÃO ARQUITETURAL: </w:t>
            </w:r>
            <w:r>
              <w:rPr>
                <w:rFonts w:ascii="Aptos" w:hAnsi="Aptos"/>
                <w:b w:val="0"/>
                <w:i w:val="0"/>
                <w:color w:val="173A2D"/>
                <w:sz w:val="20"/>
              </w:rPr>
              <w:t>A plataforma opera em dois ritmos: eventos para atualização operacional e processamento em lote para preservar histórico, treinar modelos e auditar a evolução das recomendações.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rFonts w:ascii="Aptos" w:hAnsi="Aptos"/>
          <w:b/>
          <w:i w:val="0"/>
          <w:color w:val="173A2D"/>
          <w:sz w:val="25"/>
        </w:rPr>
        <w:t>Objetivos de negócio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5" w:color="C9D8CC"/>
          <w:left w:val="single" w:sz="5" w:color="C9D8CC"/>
          <w:bottom w:val="single" w:sz="5" w:color="C9D8CC"/>
          <w:right w:val="single" w:sz="5" w:color="C9D8CC"/>
          <w:insideH w:val="single" w:sz="5" w:color="C9D8CC"/>
          <w:insideV w:val="single" w:sz="5" w:color="C9D8CC"/>
        </w:tblBorders>
      </w:tblPr>
      <w:tblGrid>
        <w:gridCol w:w="2700"/>
        <w:gridCol w:w="3960"/>
        <w:gridCol w:w="270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205B4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Objetivo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shd w:fill="205B4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Como a arquitetura responde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205B4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Indicador de sucesso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Reduzir descarte em 20%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Previsão granular, validade, clima e promoções no cálculo</w:t>
            </w:r>
          </w:p>
        </w:tc>
        <w:tc>
          <w:tcPr>
            <w:tcW w:type="dxa" w:w="27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Descarte por SKU, loja e período</w:t>
            </w:r>
          </w:p>
        </w:tc>
      </w:tr>
      <w:tr>
        <w:tc>
          <w:tcPr>
            <w:tcW w:type="dxa" w:w="270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Reduzir ruptura em 15%</w:t>
            </w:r>
          </w:p>
        </w:tc>
        <w:tc>
          <w:tcPr>
            <w:tcW w:type="dxa" w:w="396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Recomendação com restrições de estoque e reposição</w:t>
            </w:r>
          </w:p>
        </w:tc>
        <w:tc>
          <w:tcPr>
            <w:tcW w:type="dxa" w:w="270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Ruptura por SKU, loja e período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Decisão explicável e auditável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Portal de exceções, justificativa humana e registro de recomendação</w:t>
            </w:r>
          </w:p>
        </w:tc>
        <w:tc>
          <w:tcPr>
            <w:tcW w:type="dxa" w:w="27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Taxa de aceitação, alteração e rejeição</w:t>
            </w:r>
          </w:p>
        </w:tc>
      </w:tr>
      <w:tr>
        <w:tc>
          <w:tcPr>
            <w:tcW w:type="dxa" w:w="270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Evoluir com segurança</w:t>
            </w:r>
          </w:p>
        </w:tc>
        <w:tc>
          <w:tcPr>
            <w:tcW w:type="dxa" w:w="396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Qualidade, catálogo, linhagem, métricas e governança</w:t>
            </w:r>
          </w:p>
        </w:tc>
        <w:tc>
          <w:tcPr>
            <w:tcW w:type="dxa" w:w="270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Qualidade de dados, custo e desempenho do modelo</w:t>
            </w:r>
          </w:p>
        </w:tc>
      </w:tr>
    </w:tbl>
    <w:p>
      <w:pPr>
        <w:keepNext/>
        <w:spacing w:before="200" w:after="80"/>
      </w:pPr>
      <w:r>
        <w:rPr>
          <w:rFonts w:ascii="Aptos" w:hAnsi="Aptos"/>
          <w:b/>
          <w:i w:val="0"/>
          <w:color w:val="173A2D"/>
          <w:sz w:val="25"/>
        </w:rPr>
        <w:t>Escopo da arquitetura</w:t>
      </w:r>
    </w:p>
    <w:p>
      <w:pPr>
        <w:spacing w:before="0" w:after="140" w:line="269" w:lineRule="auto"/>
      </w:pPr>
      <w:r>
        <w:rPr>
          <w:rFonts w:ascii="Aptos" w:hAnsi="Aptos"/>
          <w:b w:val="0"/>
          <w:i w:val="0"/>
          <w:color w:val="173A2D"/>
          <w:sz w:val="22"/>
        </w:rPr>
        <w:t>O modelo conecta as camadas de motivação, estratégia, negócio, aplicações, dados, tecnologia e implementação. A unidade de decisão é SKU, loja e dia, com refinamento por horário para vendas quando disponível. O resultado é um plano de reposição aprovado, executável no ERP e mensurável após a venda.</w:t>
      </w:r>
    </w:p>
    <w:p>
      <w:pPr>
        <w:keepNext/>
        <w:spacing w:before="360" w:after="140"/>
      </w:pPr>
      <w:r>
        <w:rPr>
          <w:rFonts w:ascii="Aptos" w:hAnsi="Aptos"/>
          <w:b/>
          <w:i w:val="0"/>
          <w:color w:val="205B42"/>
          <w:sz w:val="32"/>
        </w:rPr>
        <w:t>1. Motivação, problema e princípios</w:t>
      </w:r>
    </w:p>
    <w:p>
      <w:pPr>
        <w:spacing w:before="0" w:after="140" w:line="269" w:lineRule="auto"/>
      </w:pPr>
      <w:r>
        <w:rPr>
          <w:rFonts w:ascii="Aptos" w:hAnsi="Aptos"/>
          <w:b w:val="0"/>
          <w:i w:val="0"/>
          <w:color w:val="173A2D"/>
          <w:sz w:val="22"/>
        </w:rPr>
        <w:t>Os direcionadores centrais são o descarte elevado de perecíveis e as rupturas de produtos frescos. O diagnóstico aponta duas causas estruturais: decisões baseadas em planilhas e conhecimento individual, e fragmentação entre PDV, ERP, estoque, calendário promocional e variáveis externas.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5" w:color="C9D8CC"/>
          <w:left w:val="single" w:sz="5" w:color="C9D8CC"/>
          <w:bottom w:val="single" w:sz="5" w:color="C9D8CC"/>
          <w:right w:val="single" w:sz="5" w:color="C9D8CC"/>
          <w:insideH w:val="single" w:sz="5" w:color="C9D8CC"/>
          <w:insideV w:val="single" w:sz="5" w:color="C9D8CC"/>
        </w:tblBorders>
      </w:tblPr>
      <w:tblGrid>
        <w:gridCol w:w="2050"/>
        <w:gridCol w:w="3700"/>
        <w:gridCol w:w="3610"/>
      </w:tblGrid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shd w:fill="205B4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Elemento ArchiMate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shd w:fill="205B4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Definição no projeto</w:t>
            </w:r>
          </w:p>
        </w:tc>
        <w:tc>
          <w:tcPr>
            <w:tcW w:type="dxa" w:w="3610"/>
            <w:tcMar>
              <w:top w:w="90" w:type="dxa"/>
              <w:start w:w="120" w:type="dxa"/>
              <w:bottom w:w="90" w:type="dxa"/>
              <w:end w:w="120" w:type="dxa"/>
            </w:tcMar>
            <w:shd w:fill="205B4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Implicação prática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Stakeholders</w:t>
            </w:r>
          </w:p>
        </w:tc>
        <w:tc>
          <w:tcPr>
            <w:tcW w:type="dxa" w:w="37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Diretoria de Operações, Gerente de Loja e Equipe de Compras</w:t>
            </w:r>
          </w:p>
        </w:tc>
        <w:tc>
          <w:tcPr>
            <w:tcW w:type="dxa" w:w="361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A solução precisa atender decisão estratégica e execução diária.</w:t>
            </w:r>
          </w:p>
        </w:tc>
      </w:tr>
      <w:tr>
        <w:tc>
          <w:tcPr>
            <w:tcW w:type="dxa" w:w="205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Metas</w:t>
            </w:r>
          </w:p>
        </w:tc>
        <w:tc>
          <w:tcPr>
            <w:tcW w:type="dxa" w:w="370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Reduzir descarte, reduzir ruptura e manter auditoria</w:t>
            </w:r>
          </w:p>
        </w:tc>
        <w:tc>
          <w:tcPr>
            <w:tcW w:type="dxa" w:w="361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Os resultados precisam ser medidos em indicadores de negócio.</w:t>
            </w:r>
          </w:p>
        </w:tc>
      </w:tr>
      <w:tr>
        <w:tc>
          <w:tcPr>
            <w:tcW w:type="dxa" w:w="205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Requisitos</w:t>
            </w:r>
          </w:p>
        </w:tc>
        <w:tc>
          <w:tcPr>
            <w:tcW w:type="dxa" w:w="37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Previsão granular, dados de contexto, ajuste humano e monitoramento</w:t>
            </w:r>
          </w:p>
        </w:tc>
        <w:tc>
          <w:tcPr>
            <w:tcW w:type="dxa" w:w="361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O modelo não pode ser uma caixa preta isolada.</w:t>
            </w:r>
          </w:p>
        </w:tc>
      </w:tr>
      <w:tr>
        <w:tc>
          <w:tcPr>
            <w:tcW w:type="dxa" w:w="205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Princípios</w:t>
            </w:r>
          </w:p>
        </w:tc>
        <w:tc>
          <w:tcPr>
            <w:tcW w:type="dxa" w:w="370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Eventos para atualização; lote para histórico; IA recomenda e humano aprova exceções</w:t>
            </w:r>
          </w:p>
        </w:tc>
        <w:tc>
          <w:tcPr>
            <w:tcW w:type="dxa" w:w="361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A arquitetura equilibra agilidade operacional, rastreabilidade e governança.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5" w:color="B8CFBE"/>
          <w:left w:val="single" w:sz="5" w:color="B8CFBE"/>
          <w:bottom w:val="single" w:sz="5" w:color="B8CFBE"/>
          <w:right w:val="single" w:sz="5" w:color="B8CFBE"/>
          <w:insideH w:val="single" w:sz="5" w:color="B8CFBE"/>
          <w:insideV w:val="single" w:sz="5" w:color="B8CFB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4EFE6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i w:val="0"/>
                <w:color w:val="205B42"/>
                <w:sz w:val="20"/>
              </w:rPr>
              <w:t xml:space="preserve">RESULTADO DESEJADO: </w:t>
            </w:r>
            <w:r>
              <w:rPr>
                <w:rFonts w:ascii="Aptos" w:hAnsi="Aptos"/>
                <w:b w:val="0"/>
                <w:i w:val="0"/>
                <w:color w:val="173A2D"/>
                <w:sz w:val="20"/>
              </w:rPr>
              <w:t>Estoque certo, na loja certa, no momento certo, com capacidade de explicar por que uma recomendação foi emitida e o que aconteceu depois dela.</w:t>
            </w:r>
          </w:p>
        </w:tc>
      </w:tr>
    </w:tbl>
    <w:p>
      <w:pPr>
        <w:spacing w:after="60"/>
      </w:pPr>
    </w:p>
    <w:p>
      <w:pPr>
        <w:keepNext/>
        <w:spacing w:before="360" w:after="140"/>
      </w:pPr>
      <w:r>
        <w:rPr>
          <w:rFonts w:ascii="Aptos" w:hAnsi="Aptos"/>
          <w:b/>
          <w:i w:val="0"/>
          <w:color w:val="205B42"/>
          <w:sz w:val="32"/>
        </w:rPr>
        <w:t>2. Arquitetura de negócio</w:t>
      </w:r>
    </w:p>
    <w:p>
      <w:pPr>
        <w:spacing w:before="0" w:after="140" w:line="269" w:lineRule="auto"/>
      </w:pPr>
      <w:r>
        <w:rPr>
          <w:rFonts w:ascii="Aptos" w:hAnsi="Aptos"/>
          <w:b w:val="0"/>
          <w:i w:val="0"/>
          <w:color w:val="173A2D"/>
          <w:sz w:val="22"/>
        </w:rPr>
        <w:t>A arquitetura de negócio fecha o ciclo que costuma ficar incompleto em iniciativas apenas analíticas. O FreshFlow não entrega somente um painel: ele liga previsão, recomendação, revisão de exceções, execução e aprendizado.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5" w:color="C9D8CC"/>
          <w:left w:val="single" w:sz="5" w:color="C9D8CC"/>
          <w:bottom w:val="single" w:sz="5" w:color="C9D8CC"/>
          <w:right w:val="single" w:sz="5" w:color="C9D8CC"/>
          <w:insideH w:val="single" w:sz="5" w:color="C9D8CC"/>
          <w:insideV w:val="single" w:sz="5" w:color="C9D8CC"/>
        </w:tblBorders>
      </w:tblPr>
      <w:tblGrid>
        <w:gridCol w:w="2700"/>
        <w:gridCol w:w="2800"/>
        <w:gridCol w:w="38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205B4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Etapa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shd w:fill="205B4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Responsável principal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shd w:fill="205B4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Saída operacional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Prever demanda diária</w:t>
            </w:r>
          </w:p>
        </w:tc>
        <w:tc>
          <w:tcPr>
            <w:tcW w:type="dxa" w:w="28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Planejador de Demanda</w:t>
            </w:r>
          </w:p>
        </w:tc>
        <w:tc>
          <w:tcPr>
            <w:tcW w:type="dxa" w:w="386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Previsão probabilística por SKU, loja e dia</w:t>
            </w:r>
          </w:p>
        </w:tc>
      </w:tr>
      <w:tr>
        <w:tc>
          <w:tcPr>
            <w:tcW w:type="dxa" w:w="270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Gerar recomendação de reposição</w:t>
            </w:r>
          </w:p>
        </w:tc>
        <w:tc>
          <w:tcPr>
            <w:tcW w:type="dxa" w:w="280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Motor de reposição</w:t>
            </w:r>
          </w:p>
        </w:tc>
        <w:tc>
          <w:tcPr>
            <w:tcW w:type="dxa" w:w="386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Quantidade recomendada e justificativa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Revisar exceções</w:t>
            </w:r>
          </w:p>
        </w:tc>
        <w:tc>
          <w:tcPr>
            <w:tcW w:type="dxa" w:w="28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Gerente de Loja</w:t>
            </w:r>
          </w:p>
        </w:tc>
        <w:tc>
          <w:tcPr>
            <w:tcW w:type="dxa" w:w="386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Aprovação, ajuste ou rejeição com motivo</w:t>
            </w:r>
          </w:p>
        </w:tc>
      </w:tr>
      <w:tr>
        <w:tc>
          <w:tcPr>
            <w:tcW w:type="dxa" w:w="270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Emitir pedido ao fornecedor</w:t>
            </w:r>
          </w:p>
        </w:tc>
        <w:tc>
          <w:tcPr>
            <w:tcW w:type="dxa" w:w="280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Comprador</w:t>
            </w:r>
          </w:p>
        </w:tc>
        <w:tc>
          <w:tcPr>
            <w:tcW w:type="dxa" w:w="386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Pedido integrado ao ERP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Medir venda, ruptura e descarte</w:t>
            </w:r>
          </w:p>
        </w:tc>
        <w:tc>
          <w:tcPr>
            <w:tcW w:type="dxa" w:w="28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Responsável por Dados</w:t>
            </w:r>
          </w:p>
        </w:tc>
        <w:tc>
          <w:tcPr>
            <w:tcW w:type="dxa" w:w="386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Realimentação para operação e modelo</w:t>
            </w:r>
          </w:p>
        </w:tc>
      </w:tr>
    </w:tbl>
    <w:p>
      <w:pPr>
        <w:spacing w:before="0" w:after="140" w:line="269" w:lineRule="auto"/>
      </w:pPr>
      <w:r>
        <w:rPr>
          <w:rFonts w:ascii="Aptos" w:hAnsi="Aptos"/>
          <w:b w:val="0"/>
          <w:i w:val="0"/>
          <w:color w:val="173A2D"/>
          <w:sz w:val="22"/>
        </w:rPr>
        <w:t>O serviço de negócio entregue é o Planejamento Inteligente de Perecíveis. Os serviços de aplicação sustentam cada etapa: previsão probabilística, recomendação de reposição e explicação com ajuste humano.</w:t>
      </w:r>
    </w:p>
    <w:p>
      <w:pPr>
        <w:keepNext/>
        <w:spacing w:before="360" w:after="140"/>
      </w:pPr>
      <w:r>
        <w:rPr>
          <w:rFonts w:ascii="Aptos" w:hAnsi="Aptos"/>
          <w:b/>
          <w:i w:val="0"/>
          <w:color w:val="205B42"/>
          <w:sz w:val="32"/>
        </w:rPr>
        <w:t>3. Dados e aplicações</w:t>
      </w:r>
    </w:p>
    <w:p>
      <w:pPr>
        <w:spacing w:before="0" w:after="140" w:line="269" w:lineRule="auto"/>
      </w:pPr>
      <w:r>
        <w:rPr>
          <w:rFonts w:ascii="Aptos" w:hAnsi="Aptos"/>
          <w:b w:val="0"/>
          <w:i w:val="0"/>
          <w:color w:val="173A2D"/>
          <w:sz w:val="22"/>
        </w:rPr>
        <w:t>A plataforma FreshFlow recebe dados de PDV, ERP de compras, sistema de estoque, calendário promocional e API de clima. O serviço de ingestão preserva a zona bruta versionada; a qualidade de dados registra catálogo, linhagem e controles; o pipeline produz dados curados e atributos para treinamento.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5" w:color="C9D8CC"/>
          <w:left w:val="single" w:sz="5" w:color="C9D8CC"/>
          <w:bottom w:val="single" w:sz="5" w:color="C9D8CC"/>
          <w:right w:val="single" w:sz="5" w:color="C9D8CC"/>
          <w:insideH w:val="single" w:sz="5" w:color="C9D8CC"/>
          <w:insideV w:val="single" w:sz="5" w:color="C9D8CC"/>
        </w:tblBorders>
      </w:tblPr>
      <w:tblGrid>
        <w:gridCol w:w="1880"/>
        <w:gridCol w:w="3600"/>
        <w:gridCol w:w="3880"/>
      </w:tblGrid>
      <w:tr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shd w:fill="205B4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Camada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shd w:fill="205B4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Componentes</w:t>
            </w:r>
          </w:p>
        </w:tc>
        <w:tc>
          <w:tcPr>
            <w:tcW w:type="dxa" w:w="3880"/>
            <w:tcMar>
              <w:top w:w="90" w:type="dxa"/>
              <w:start w:w="120" w:type="dxa"/>
              <w:bottom w:w="90" w:type="dxa"/>
              <w:end w:w="120" w:type="dxa"/>
            </w:tcMar>
            <w:shd w:fill="205B4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Função</w:t>
            </w:r>
          </w:p>
        </w:tc>
      </w:tr>
      <w:tr>
        <w:tc>
          <w:tcPr>
            <w:tcW w:type="dxa" w:w="188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Fontes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PDV, ERP, WMS, promoções e clima</w:t>
            </w:r>
          </w:p>
        </w:tc>
        <w:tc>
          <w:tcPr>
            <w:tcW w:type="dxa" w:w="388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Fornecem vendas, estoque, validade, descarte e contexto de demanda.</w:t>
            </w:r>
          </w:p>
        </w:tc>
      </w:tr>
      <w:tr>
        <w:tc>
          <w:tcPr>
            <w:tcW w:type="dxa" w:w="188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Ingestão e governança</w:t>
            </w:r>
          </w:p>
        </w:tc>
        <w:tc>
          <w:tcPr>
            <w:tcW w:type="dxa" w:w="360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Serviço de ingestão, serviço de qualidade, zona bruta e catálogo</w:t>
            </w:r>
          </w:p>
        </w:tc>
        <w:tc>
          <w:tcPr>
            <w:tcW w:type="dxa" w:w="388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Recebem dados por lote e eventos; preservam histórico, linhagem e qualidade.</w:t>
            </w:r>
          </w:p>
        </w:tc>
      </w:tr>
      <w:tr>
        <w:tc>
          <w:tcPr>
            <w:tcW w:type="dxa" w:w="188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Preparação e previsão</w:t>
            </w:r>
          </w:p>
        </w:tc>
        <w:tc>
          <w:tcPr>
            <w:tcW w:type="dxa" w:w="36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Pipeline de atributos, dados curados, motor de previsão</w:t>
            </w:r>
          </w:p>
        </w:tc>
        <w:tc>
          <w:tcPr>
            <w:tcW w:type="dxa" w:w="388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Transformam sinais operacionais em previsão com intervalos.</w:t>
            </w:r>
          </w:p>
        </w:tc>
      </w:tr>
      <w:tr>
        <w:tc>
          <w:tcPr>
            <w:tcW w:type="dxa" w:w="188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Decisão e interação</w:t>
            </w:r>
          </w:p>
        </w:tc>
        <w:tc>
          <w:tcPr>
            <w:tcW w:type="dxa" w:w="360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Motor de reposição, API FreshFlow e Portal FreshFlow</w:t>
            </w:r>
          </w:p>
        </w:tc>
        <w:tc>
          <w:tcPr>
            <w:tcW w:type="dxa" w:w="388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Convertem previsão em recomendação, expõem justificativas e registram intervenção humana.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5" w:color="B8CFBE"/>
          <w:left w:val="single" w:sz="5" w:color="B8CFBE"/>
          <w:bottom w:val="single" w:sz="5" w:color="B8CFBE"/>
          <w:right w:val="single" w:sz="5" w:color="B8CFBE"/>
          <w:insideH w:val="single" w:sz="5" w:color="B8CFBE"/>
          <w:insideV w:val="single" w:sz="5" w:color="B8CFB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4EFE6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i w:val="0"/>
                <w:color w:val="205B42"/>
                <w:sz w:val="20"/>
              </w:rPr>
              <w:t xml:space="preserve">RASTREABILIDADE MÍNIMA: </w:t>
            </w:r>
            <w:r>
              <w:rPr>
                <w:rFonts w:ascii="Aptos" w:hAnsi="Aptos"/>
                <w:b w:val="0"/>
                <w:i w:val="0"/>
                <w:color w:val="173A2D"/>
                <w:sz w:val="20"/>
              </w:rPr>
              <w:t>Cada recomendação deve preservar a versão do dado, a versão do modelo, as variáveis relevantes, a regra aplicada, a decisão humana e o resultado observado.</w:t>
            </w:r>
          </w:p>
        </w:tc>
      </w:tr>
    </w:tbl>
    <w:p>
      <w:pPr>
        <w:spacing w:after="60"/>
      </w:pPr>
    </w:p>
    <w:p>
      <w:pPr>
        <w:keepNext/>
        <w:spacing w:before="360" w:after="140"/>
      </w:pPr>
      <w:r>
        <w:rPr>
          <w:rFonts w:ascii="Aptos" w:hAnsi="Aptos"/>
          <w:b/>
          <w:i w:val="0"/>
          <w:color w:val="205B42"/>
          <w:sz w:val="32"/>
        </w:rPr>
        <w:t>4. Arquitetura tecnológica</w:t>
      </w:r>
    </w:p>
    <w:p>
      <w:pPr>
        <w:spacing w:before="0" w:after="140" w:line="269" w:lineRule="auto"/>
      </w:pPr>
      <w:r>
        <w:rPr>
          <w:rFonts w:ascii="Aptos" w:hAnsi="Aptos"/>
          <w:b w:val="0"/>
          <w:i w:val="0"/>
          <w:color w:val="173A2D"/>
          <w:sz w:val="22"/>
        </w:rPr>
        <w:t>O ambiente das lojas se conecta à AWS Cloud por VPN segura. A escolha tecnológica do modelo é coerente com a necessidade de integrar dados heterogêneos, manter histórico, treinar modelos e disponibilizar recomendações com baixa fricção operacional.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5" w:color="C9D8CC"/>
          <w:left w:val="single" w:sz="5" w:color="C9D8CC"/>
          <w:bottom w:val="single" w:sz="5" w:color="C9D8CC"/>
          <w:right w:val="single" w:sz="5" w:color="C9D8CC"/>
          <w:insideH w:val="single" w:sz="5" w:color="C9D8CC"/>
          <w:insideV w:val="single" w:sz="5" w:color="C9D8CC"/>
        </w:tblBorders>
      </w:tblPr>
      <w:tblGrid>
        <w:gridCol w:w="2200"/>
        <w:gridCol w:w="4300"/>
        <w:gridCol w:w="28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205B4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Serviço AWS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shd w:fill="205B4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Papel no FreshFlow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shd w:fill="205B4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Controle associado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AWS DMS e Amazon Kinesis</w:t>
            </w:r>
          </w:p>
        </w:tc>
        <w:tc>
          <w:tcPr>
            <w:tcW w:type="dxa" w:w="43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Replicação de bancos existentes e captura de eventos</w:t>
            </w:r>
          </w:p>
        </w:tc>
        <w:tc>
          <w:tcPr>
            <w:tcW w:type="dxa" w:w="286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Continuidade e atualização de dados</w:t>
            </w:r>
          </w:p>
        </w:tc>
      </w:tr>
      <w:tr>
        <w:tc>
          <w:tcPr>
            <w:tcW w:type="dxa" w:w="220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Amazon S3</w:t>
            </w:r>
          </w:p>
        </w:tc>
        <w:tc>
          <w:tcPr>
            <w:tcW w:type="dxa" w:w="430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Data Lake para dados brutos, curados e histórico</w:t>
            </w:r>
          </w:p>
        </w:tc>
        <w:tc>
          <w:tcPr>
            <w:tcW w:type="dxa" w:w="286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Versionamento e retenção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AWS Glue e Data Catalog</w:t>
            </w:r>
          </w:p>
        </w:tc>
        <w:tc>
          <w:tcPr>
            <w:tcW w:type="dxa" w:w="43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Preparação, catálogo e linhagem de dados</w:t>
            </w:r>
          </w:p>
        </w:tc>
        <w:tc>
          <w:tcPr>
            <w:tcW w:type="dxa" w:w="286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Qualidade e descoberta</w:t>
            </w:r>
          </w:p>
        </w:tc>
      </w:tr>
      <w:tr>
        <w:tc>
          <w:tcPr>
            <w:tcW w:type="dxa" w:w="220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Amazon SageMaker</w:t>
            </w:r>
          </w:p>
        </w:tc>
        <w:tc>
          <w:tcPr>
            <w:tcW w:type="dxa" w:w="430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Treinamento, publicação e métricas de modelos</w:t>
            </w:r>
          </w:p>
        </w:tc>
        <w:tc>
          <w:tcPr>
            <w:tcW w:type="dxa" w:w="286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Versionamento e monitoramento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AWS Lambda e API Gateway</w:t>
            </w:r>
          </w:p>
        </w:tc>
        <w:tc>
          <w:tcPr>
            <w:tcW w:type="dxa" w:w="43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Entrega das recomendações à aplicação</w:t>
            </w:r>
          </w:p>
        </w:tc>
        <w:tc>
          <w:tcPr>
            <w:tcW w:type="dxa" w:w="286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Escalabilidade de serviços</w:t>
            </w:r>
          </w:p>
        </w:tc>
      </w:tr>
      <w:tr>
        <w:tc>
          <w:tcPr>
            <w:tcW w:type="dxa" w:w="220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Amazon Aurora PostgreSQL</w:t>
            </w:r>
          </w:p>
        </w:tc>
        <w:tc>
          <w:tcPr>
            <w:tcW w:type="dxa" w:w="430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Persistência transacional de regras e decisões</w:t>
            </w:r>
          </w:p>
        </w:tc>
        <w:tc>
          <w:tcPr>
            <w:tcW w:type="dxa" w:w="286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Consistência operacional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IAM, KMS, Secrets Manager e CloudWatch</w:t>
            </w:r>
          </w:p>
        </w:tc>
        <w:tc>
          <w:tcPr>
            <w:tcW w:type="dxa" w:w="43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Segurança, gestão de segredos, auditoria e observabilidade</w:t>
            </w:r>
          </w:p>
        </w:tc>
        <w:tc>
          <w:tcPr>
            <w:tcW w:type="dxa" w:w="286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Acesso mínimo, trilhas e alertas</w:t>
            </w:r>
          </w:p>
        </w:tc>
      </w:tr>
    </w:tbl>
    <w:p>
      <w:pPr>
        <w:keepNext/>
        <w:spacing w:before="360" w:after="140"/>
      </w:pPr>
      <w:r>
        <w:rPr>
          <w:rFonts w:ascii="Aptos" w:hAnsi="Aptos"/>
          <w:b/>
          <w:i w:val="0"/>
          <w:color w:val="205B42"/>
          <w:sz w:val="32"/>
        </w:rPr>
        <w:t>5. Baseline, lacuna e estado alvo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5" w:color="C9D8CC"/>
          <w:left w:val="single" w:sz="5" w:color="C9D8CC"/>
          <w:bottom w:val="single" w:sz="5" w:color="C9D8CC"/>
          <w:right w:val="single" w:sz="5" w:color="C9D8CC"/>
          <w:insideH w:val="single" w:sz="5" w:color="C9D8CC"/>
          <w:insideV w:val="single" w:sz="5" w:color="C9D8CC"/>
        </w:tblBorders>
      </w:tblPr>
      <w:tblGrid>
        <w:gridCol w:w="1500"/>
        <w:gridCol w:w="4750"/>
        <w:gridCol w:w="3110"/>
      </w:tblGrid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205B4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Estado</w:t>
            </w:r>
          </w:p>
        </w:tc>
        <w:tc>
          <w:tcPr>
            <w:tcW w:type="dxa" w:w="4750"/>
            <w:tcMar>
              <w:top w:w="90" w:type="dxa"/>
              <w:start w:w="120" w:type="dxa"/>
              <w:bottom w:w="90" w:type="dxa"/>
              <w:end w:w="120" w:type="dxa"/>
            </w:tcMar>
            <w:shd w:fill="205B4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Característica</w:t>
            </w:r>
          </w:p>
        </w:tc>
        <w:tc>
          <w:tcPr>
            <w:tcW w:type="dxa" w:w="3110"/>
            <w:tcMar>
              <w:top w:w="90" w:type="dxa"/>
              <w:start w:w="120" w:type="dxa"/>
              <w:bottom w:w="90" w:type="dxa"/>
              <w:end w:w="120" w:type="dxa"/>
            </w:tcMar>
            <w:shd w:fill="205B4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Critério de passagem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Baseline</w:t>
            </w:r>
          </w:p>
        </w:tc>
        <w:tc>
          <w:tcPr>
            <w:tcW w:type="dxa" w:w="475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Planilhas e sistemas isolados; ausência de previsão granular e de aprendizagem operacional</w:t>
            </w:r>
          </w:p>
        </w:tc>
        <w:tc>
          <w:tcPr>
            <w:tcW w:type="dxa" w:w="311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Diagnóstico confirmado e indicadores de referência estabelecidos.</w:t>
            </w:r>
          </w:p>
        </w:tc>
      </w:tr>
      <w:tr>
        <w:tc>
          <w:tcPr>
            <w:tcW w:type="dxa" w:w="150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Transição</w:t>
            </w:r>
          </w:p>
        </w:tc>
        <w:tc>
          <w:tcPr>
            <w:tcW w:type="dxa" w:w="475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Piloto em três lojas, com dados integrados e processo de exceções</w:t>
            </w:r>
          </w:p>
        </w:tc>
        <w:tc>
          <w:tcPr>
            <w:tcW w:type="dxa" w:w="311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Reduzir descarte e ruptura sem aumento inaceitável de indisponibilidade, custo ou intervenção manual.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Target</w:t>
            </w:r>
          </w:p>
        </w:tc>
        <w:tc>
          <w:tcPr>
            <w:tcW w:type="dxa" w:w="475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Plataforma em toda a rede, com governança e monitoramento permanentes</w:t>
            </w:r>
          </w:p>
        </w:tc>
        <w:tc>
          <w:tcPr>
            <w:tcW w:type="dxa" w:w="311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Escala sustentável, desempenho mensurado e operação auditável.</w:t>
            </w:r>
          </w:p>
        </w:tc>
      </w:tr>
    </w:tbl>
    <w:p>
      <w:pPr>
        <w:spacing w:before="0" w:after="140" w:line="269" w:lineRule="auto"/>
      </w:pPr>
      <w:r>
        <w:rPr>
          <w:rFonts w:ascii="Aptos" w:hAnsi="Aptos"/>
          <w:b w:val="0"/>
          <w:i w:val="0"/>
          <w:color w:val="173A2D"/>
          <w:sz w:val="22"/>
        </w:rPr>
        <w:t>A lacuna é deliberadamente tratada como organizacional e técnica. Não basta conectar sistemas: é necessário medir se a recomendação foi aceita, alterada ou rejeitada, e então relacionar essa decisão ao resultado real de vendas, ruptura e descarte.</w:t>
      </w:r>
    </w:p>
    <w:p>
      <w:pPr>
        <w:keepNext/>
        <w:spacing w:before="360" w:after="140"/>
      </w:pPr>
      <w:r>
        <w:rPr>
          <w:rFonts w:ascii="Aptos" w:hAnsi="Aptos"/>
          <w:b/>
          <w:i w:val="0"/>
          <w:color w:val="205B42"/>
          <w:sz w:val="32"/>
        </w:rPr>
        <w:t>6. Roadmap TOGAF ADM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5" w:color="C9D8CC"/>
          <w:left w:val="single" w:sz="5" w:color="C9D8CC"/>
          <w:bottom w:val="single" w:sz="5" w:color="C9D8CC"/>
          <w:right w:val="single" w:sz="5" w:color="C9D8CC"/>
          <w:insideH w:val="single" w:sz="5" w:color="C9D8CC"/>
          <w:insideV w:val="single" w:sz="5" w:color="C9D8CC"/>
        </w:tblBorders>
      </w:tblPr>
      <w:tblGrid>
        <w:gridCol w:w="1700"/>
        <w:gridCol w:w="4100"/>
        <w:gridCol w:w="3560"/>
      </w:tblGrid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205B4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Fase ADM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shd w:fill="205B4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Entregável ou foco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shd w:fill="205B4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Resultado esperado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A. Visão de Arquitetura</w:t>
            </w:r>
          </w:p>
        </w:tc>
        <w:tc>
          <w:tcPr>
            <w:tcW w:type="dxa" w:w="41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Escopo, stakeholders, valor e critérios de sucesso</w:t>
            </w:r>
          </w:p>
        </w:tc>
        <w:tc>
          <w:tcPr>
            <w:tcW w:type="dxa" w:w="356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Visão alinhada da transformação FreshFlow.</w:t>
            </w:r>
          </w:p>
        </w:tc>
      </w:tr>
      <w:tr>
        <w:tc>
          <w:tcPr>
            <w:tcW w:type="dxa" w:w="170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B. Arquitetura de Negócio</w:t>
            </w:r>
          </w:p>
        </w:tc>
        <w:tc>
          <w:tcPr>
            <w:tcW w:type="dxa" w:w="410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Papéis, processos e serviço de planejamento</w:t>
            </w:r>
          </w:p>
        </w:tc>
        <w:tc>
          <w:tcPr>
            <w:tcW w:type="dxa" w:w="356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Ciclo operacional definido de ponta a ponta.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C. Dados e Aplicações</w:t>
            </w:r>
          </w:p>
        </w:tc>
        <w:tc>
          <w:tcPr>
            <w:tcW w:type="dxa" w:w="41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Modelo ArchiMate validado; integrações e dados</w:t>
            </w:r>
          </w:p>
        </w:tc>
        <w:tc>
          <w:tcPr>
            <w:tcW w:type="dxa" w:w="356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Fluxo de dados e serviços de decisão especificados.</w:t>
            </w:r>
          </w:p>
        </w:tc>
      </w:tr>
      <w:tr>
        <w:tc>
          <w:tcPr>
            <w:tcW w:type="dxa" w:w="170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D. Tecnologia</w:t>
            </w:r>
          </w:p>
        </w:tc>
        <w:tc>
          <w:tcPr>
            <w:tcW w:type="dxa" w:w="410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Plataforma AWS, conectividade, segurança e observabilidade</w:t>
            </w:r>
          </w:p>
        </w:tc>
        <w:tc>
          <w:tcPr>
            <w:tcW w:type="dxa" w:w="356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Fundação tecnológica escalável e auditável.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E. Oportunidades e Soluções</w:t>
            </w:r>
          </w:p>
        </w:tc>
        <w:tc>
          <w:tcPr>
            <w:tcW w:type="dxa" w:w="41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Desenho do piloto e pacotes de solução</w:t>
            </w:r>
          </w:p>
        </w:tc>
        <w:tc>
          <w:tcPr>
            <w:tcW w:type="dxa" w:w="356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Priorização de capacidades de maior impacto.</w:t>
            </w:r>
          </w:p>
        </w:tc>
      </w:tr>
      <w:tr>
        <w:tc>
          <w:tcPr>
            <w:tcW w:type="dxa" w:w="170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F. Planejamento da Migração</w:t>
            </w:r>
          </w:p>
        </w:tc>
        <w:tc>
          <w:tcPr>
            <w:tcW w:type="dxa" w:w="410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Sequência baseline, piloto e target</w:t>
            </w:r>
          </w:p>
        </w:tc>
        <w:tc>
          <w:tcPr>
            <w:tcW w:type="dxa" w:w="356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Plano de transição com dependências e métricas.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G. Governança da Implementação</w:t>
            </w:r>
          </w:p>
        </w:tc>
        <w:tc>
          <w:tcPr>
            <w:tcW w:type="dxa" w:w="41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Piloto com métricas de negócio</w:t>
            </w:r>
          </w:p>
        </w:tc>
        <w:tc>
          <w:tcPr>
            <w:tcW w:type="dxa" w:w="356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Conformidade com arquitetura e validação de resultados.</w:t>
            </w:r>
          </w:p>
        </w:tc>
      </w:tr>
      <w:tr>
        <w:tc>
          <w:tcPr>
            <w:tcW w:type="dxa" w:w="170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H. Gestão de Mudanças</w:t>
            </w:r>
          </w:p>
        </w:tc>
        <w:tc>
          <w:tcPr>
            <w:tcW w:type="dxa" w:w="410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Ajustes de processo, modelo e requisitos</w:t>
            </w:r>
          </w:p>
        </w:tc>
        <w:tc>
          <w:tcPr>
            <w:tcW w:type="dxa" w:w="356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Evolução contínua baseada em evidências.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5" w:color="B8CFBE"/>
          <w:left w:val="single" w:sz="5" w:color="B8CFBE"/>
          <w:bottom w:val="single" w:sz="5" w:color="B8CFBE"/>
          <w:right w:val="single" w:sz="5" w:color="B8CFBE"/>
          <w:insideH w:val="single" w:sz="5" w:color="B8CFBE"/>
          <w:insideV w:val="single" w:sz="5" w:color="B8CFB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4EFE6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i w:val="0"/>
                <w:color w:val="205B42"/>
                <w:sz w:val="20"/>
              </w:rPr>
              <w:t xml:space="preserve">GOVERNANÇA TRANSVERSAL: </w:t>
            </w:r>
            <w:r>
              <w:rPr>
                <w:rFonts w:ascii="Aptos" w:hAnsi="Aptos"/>
                <w:b w:val="0"/>
                <w:i w:val="0"/>
                <w:color w:val="173A2D"/>
                <w:sz w:val="20"/>
              </w:rPr>
              <w:t>A gestão de requisitos atravessa todas as fases. Alterações em regras, dados, integrações ou limites de intervenção humana devem ser registradas, avaliadas e refletidas na arquitetura.</w:t>
            </w:r>
          </w:p>
        </w:tc>
      </w:tr>
    </w:tbl>
    <w:p>
      <w:pPr>
        <w:spacing w:after="60"/>
      </w:pPr>
    </w:p>
    <w:p>
      <w:pPr>
        <w:keepNext/>
        <w:spacing w:before="360" w:after="140"/>
      </w:pPr>
      <w:r>
        <w:rPr>
          <w:rFonts w:ascii="Aptos" w:hAnsi="Aptos"/>
          <w:b/>
          <w:i w:val="0"/>
          <w:color w:val="205B42"/>
          <w:sz w:val="32"/>
        </w:rPr>
        <w:t>7. Indicadores e critérios de governança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5" w:color="C9D8CC"/>
          <w:left w:val="single" w:sz="5" w:color="C9D8CC"/>
          <w:bottom w:val="single" w:sz="5" w:color="C9D8CC"/>
          <w:right w:val="single" w:sz="5" w:color="C9D8CC"/>
          <w:insideH w:val="single" w:sz="5" w:color="C9D8CC"/>
          <w:insideV w:val="single" w:sz="5" w:color="C9D8CC"/>
        </w:tblBorders>
      </w:tblPr>
      <w:tblGrid>
        <w:gridCol w:w="1600"/>
        <w:gridCol w:w="4460"/>
        <w:gridCol w:w="3300"/>
      </w:tblGrid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shd w:fill="205B4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Dimensão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shd w:fill="205B4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Indicadores recomendados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shd w:fill="205B42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Uso de gestão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Negócio</w:t>
            </w:r>
          </w:p>
        </w:tc>
        <w:tc>
          <w:tcPr>
            <w:tcW w:type="dxa" w:w="446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Descarte, ruptura, margem, giro e nível de serviço</w:t>
            </w:r>
          </w:p>
        </w:tc>
        <w:tc>
          <w:tcPr>
            <w:tcW w:type="dxa" w:w="33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Comprovar valor e decidir expansão.</w:t>
            </w:r>
          </w:p>
        </w:tc>
      </w:tr>
      <w:tr>
        <w:tc>
          <w:tcPr>
            <w:tcW w:type="dxa" w:w="160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Adoção</w:t>
            </w:r>
          </w:p>
        </w:tc>
        <w:tc>
          <w:tcPr>
            <w:tcW w:type="dxa" w:w="446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Taxa de aceitação, ajuste e rejeição de recomendações</w:t>
            </w:r>
          </w:p>
        </w:tc>
        <w:tc>
          <w:tcPr>
            <w:tcW w:type="dxa" w:w="330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Identificar confiança e pontos de fricção.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Dados</w:t>
            </w:r>
          </w:p>
        </w:tc>
        <w:tc>
          <w:tcPr>
            <w:tcW w:type="dxa" w:w="446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Completude, atualidade, consistência e falhas de integração</w:t>
            </w:r>
          </w:p>
        </w:tc>
        <w:tc>
          <w:tcPr>
            <w:tcW w:type="dxa" w:w="33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Bloquear decisões quando qualidade estiver abaixo do limite.</w:t>
            </w:r>
          </w:p>
        </w:tc>
      </w:tr>
      <w:tr>
        <w:tc>
          <w:tcPr>
            <w:tcW w:type="dxa" w:w="160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Modelo</w:t>
            </w:r>
          </w:p>
        </w:tc>
        <w:tc>
          <w:tcPr>
            <w:tcW w:type="dxa" w:w="446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Erro de previsão, viés, cobertura de intervalos e deriva</w:t>
            </w:r>
          </w:p>
        </w:tc>
        <w:tc>
          <w:tcPr>
            <w:tcW w:type="dxa" w:w="3300"/>
            <w:vAlign w:val="center"/>
            <w:shd w:fill="F7FA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Retreinar e ajustar a política de decisão.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Operação</w:t>
            </w:r>
          </w:p>
        </w:tc>
        <w:tc>
          <w:tcPr>
            <w:tcW w:type="dxa" w:w="446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Latência, indisponibilidade, custo e intervenção manual</w:t>
            </w:r>
          </w:p>
        </w:tc>
        <w:tc>
          <w:tcPr>
            <w:tcW w:type="dxa" w:w="3300"/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i w:val="0"/>
                <w:color w:val="173A2D"/>
                <w:sz w:val="18"/>
              </w:rPr>
              <w:t>Manter a solução sustentável em escala.</w:t>
            </w:r>
          </w:p>
        </w:tc>
      </w:tr>
    </w:tbl>
    <w:p>
      <w:pPr>
        <w:keepNext/>
        <w:spacing w:before="360" w:after="140"/>
      </w:pPr>
      <w:r>
        <w:rPr>
          <w:rFonts w:ascii="Aptos" w:hAnsi="Aptos"/>
          <w:b/>
          <w:i w:val="0"/>
          <w:color w:val="205B42"/>
          <w:sz w:val="32"/>
        </w:rPr>
        <w:t>Conclusão</w:t>
      </w:r>
    </w:p>
    <w:p>
      <w:pPr>
        <w:spacing w:before="0" w:after="140" w:line="269" w:lineRule="auto"/>
      </w:pPr>
      <w:r>
        <w:rPr>
          <w:rFonts w:ascii="Aptos" w:hAnsi="Aptos"/>
          <w:b w:val="0"/>
          <w:i w:val="0"/>
          <w:color w:val="173A2D"/>
          <w:sz w:val="22"/>
        </w:rPr>
        <w:t>O modelo ArchiMate da Raiz Viva oferece uma arquitetura consistente para tratar desperdício e ruptura como um problema de decisão integrada. O FreshFlow reúne dados operacionais e contexto externo, aplica previsão e regras, preserva o papel do gestor na exceção e aprende com os resultados reais. A estratégia de piloto em três lojas reduz risco, permite medir valor antes da expansão e cria a base de governança necessária para escalar.</w:t>
      </w:r>
    </w:p>
    <w:p>
      <w:pPr>
        <w:keepNext/>
        <w:spacing w:before="200" w:after="80"/>
      </w:pPr>
      <w:r>
        <w:rPr>
          <w:rFonts w:ascii="Aptos" w:hAnsi="Aptos"/>
          <w:b/>
          <w:i w:val="0"/>
          <w:color w:val="173A2D"/>
          <w:sz w:val="25"/>
        </w:rPr>
        <w:t>Fonte do documento</w:t>
      </w:r>
    </w:p>
    <w:p>
      <w:pPr>
        <w:spacing w:before="0" w:after="0" w:line="269" w:lineRule="auto"/>
      </w:pPr>
      <w:r>
        <w:rPr>
          <w:rFonts w:ascii="Aptos" w:hAnsi="Aptos"/>
          <w:b w:val="0"/>
          <w:i/>
          <w:color w:val="5C6A63"/>
          <w:sz w:val="18"/>
        </w:rPr>
        <w:t>Modelo “Raiz Viva Mercados: Arquitetura TOGAF”, arquivo ArchiMate fornecido para esta atividade. A nomenclatura das fases segue o TOGAF ADM, conforme representado no próprio modelo.</w:t>
      </w:r>
    </w:p>
    <w:sectPr w:rsidR="00FC693F" w:rsidRPr="0006063C" w:rsidSect="00034616">
      <w:footerReference w:type="default" r:id="rId9"/>
      <w:pgSz w:w="12240" w:h="15840"/>
      <w:pgMar w:top="1123" w:right="1224" w:bottom="1008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ptos" w:hAnsi="Aptos"/>
        <w:b w:val="0"/>
        <w:i w:val="0"/>
        <w:color w:val="5C6A63"/>
        <w:sz w:val="17"/>
      </w:rPr>
      <w:t>Raiz Viva Mercados  |  FreshFlow  |  Arquitetura TOGAF</w:t>
    </w:r>
    <w:r>
      <w:t xml:space="preserve">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Raiz Viva Mercados | FreshFlow | Arquitetura TOGAF</dc:title>
  <dc:subject>Relatório técnico de arquitetura corporativa</dc:subject>
  <dc:creator>Raiz Viva Mercados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