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Georgia" w:cs="Georgia" w:eastAsia="Georgia" w:hAnsi="Georgia"/>
          <w:b/>
          <w:bCs/>
          <w:color w:val="1A1A2E"/>
          <w:sz w:val="40"/>
          <w:szCs w:val="40"/>
        </w:rPr>
        <w:t xml:space="preserve">Exclusivity and Exegesis</w:t>
      </w:r>
    </w:p>
    <w:p>
      <w:pPr>
        <w:spacing w:after="80"/>
        <w:jc w:val="center"/>
      </w:pPr>
      <w:r>
        <w:rPr>
          <w:rFonts w:ascii="Georgia" w:cs="Georgia" w:eastAsia="Georgia" w:hAnsi="Georgia"/>
          <w:color w:val="555555"/>
          <w:sz w:val="26"/>
          <w:szCs w:val="26"/>
        </w:rPr>
        <w:t xml:space="preserve">Jehovah’s Witness Doctrines of Exclusivity and the New World Translation:</w:t>
      </w:r>
    </w:p>
    <w:p>
      <w:pPr>
        <w:spacing w:after="80"/>
        <w:jc w:val="center"/>
      </w:pPr>
      <w:r>
        <w:rPr>
          <w:rFonts w:ascii="Georgia" w:cs="Georgia" w:eastAsia="Georgia" w:hAnsi="Georgia"/>
          <w:color w:val="555555"/>
          <w:sz w:val="26"/>
          <w:szCs w:val="26"/>
        </w:rPr>
        <w:t xml:space="preserve">A Source-Critical Study of Greek Text, Translation, and Institutional Theology</w:t>
      </w:r>
    </w:p>
    <w:p>
      <w:pPr>
        <w:spacing w:after="400"/>
        <w:jc w:val="center"/>
      </w:pPr>
      <w:r>
        <w:rPr>
          <w:rFonts w:ascii="Georgia" w:cs="Georgia" w:eastAsia="Georgia" w:hAnsi="Georgia"/>
          <w:color w:val="888888"/>
          <w:sz w:val="22"/>
          <w:szCs w:val="22"/>
        </w:rPr>
        <w:t xml:space="preserve">Research Essay • March 2026</w:t>
      </w:r>
    </w:p>
    <w:p>
      <w:pPr>
        <w:pBdr>
          <w:bottom w:val="single" w:color="CCCCCC" w:sz="6" w:space="1"/>
        </w:pBdr>
        <w:spacing w:after="300"/>
      </w:pPr>
    </w:p>
    <w:p>
      <w:pPr>
        <w:pStyle w:val="Heading1"/>
        <w:spacing w:before="360" w:after="200"/>
      </w:pPr>
      <w:r>
        <w:rPr>
          <w:rFonts w:ascii="Georgia" w:cs="Georgia" w:eastAsia="Georgia" w:hAnsi="Georgia"/>
          <w:b/>
          <w:bCs/>
          <w:color w:val="1A1A2E"/>
          <w:sz w:val="30"/>
          <w:szCs w:val="30"/>
        </w:rPr>
        <w:t xml:space="preserve">1. Thesis: Answer in Brief</w:t>
      </w:r>
    </w:p>
    <w:p>
      <w:pPr>
        <w:spacing w:after="180" w:line="312"/>
        <w:jc w:val="both"/>
      </w:pPr>
      <w:r>
        <w:rPr>
          <w:rFonts w:ascii="Georgia" w:cs="Georgia" w:eastAsia="Georgia" w:hAnsi="Georgia"/>
          <w:sz w:val="24"/>
          <w:szCs w:val="24"/>
        </w:rPr>
        <w:t xml:space="preserve">Jehovah’s Witness exclusivity—the claim that the Watch Tower organization constitutes the sole channel of divine communication and that mainstream Christianity is apostate—does not rest primarily on translation differences in the New World Translation (NWT). It rests on an interpretive and institutional superstructure erected over passages whose Greek text, in nearly every case, can bear more than one reading. The NWT does contain several translation choices that are unusual and that favor Watchtower theology, but these choices are rarely the load-bearing pillars of exclusivity. Rather, they function as confirmation within a system whose real foundations are hermeneutical: a particular reading of biblical typology, a dispensationalist-like periodization of church history, and the organizational claim to be the “faithful and discreet slave” of Matthew 24:45. Where the NWT genuinely departs from the Greek in tendentious ways, the departures more often concern Christology (John 1:1, Colossians 1:15–17) than the exclusivity question directly. Where exclusivity is at stake, the key moves are interpretive, not translational.</w:t>
      </w:r>
    </w:p>
    <w:p>
      <w:pPr>
        <w:spacing w:after="180" w:line="312"/>
        <w:jc w:val="both"/>
      </w:pPr>
      <w:r>
        <w:rPr>
          <w:rFonts w:ascii="Georgia" w:cs="Georgia" w:eastAsia="Georgia" w:hAnsi="Georgia"/>
          <w:sz w:val="24"/>
          <w:szCs w:val="24"/>
        </w:rPr>
        <w:t xml:space="preserve">At the same time, mainstream Christian translations occasionally import theological assumptions that the Greek does not strictly require—particularly in Christological texts and in the rendering of the divine name—so the critique does not run in one direction only. The honest conclusion is that the exclusivity question is underdetermined by the Greek text: the Bible neither clearly mandates a centralized visible organization as God’s sole channel, nor clearly forbids the idea that God would use one. The JW case is built by connecting dots that the text leaves unconnected, but mainstream Christianity has sometimes done the same in the opposite direction.</w:t>
      </w:r>
    </w:p>
    <w:p>
      <w:r>
        <w:br w:type="page"/>
      </w:r>
    </w:p>
    <w:p>
      <w:pPr>
        <w:pStyle w:val="Heading1"/>
        <w:spacing w:before="360" w:after="200"/>
      </w:pPr>
      <w:r>
        <w:rPr>
          <w:rFonts w:ascii="Georgia" w:cs="Georgia" w:eastAsia="Georgia" w:hAnsi="Georgia"/>
          <w:b/>
          <w:bCs/>
          <w:color w:val="1A1A2E"/>
          <w:sz w:val="30"/>
          <w:szCs w:val="30"/>
        </w:rPr>
        <w:t xml:space="preserve">2. Why a Sincere Christian Might Find the JW Case Persuasive</w:t>
      </w:r>
    </w:p>
    <w:p>
      <w:pPr>
        <w:spacing w:after="180" w:line="312"/>
        <w:jc w:val="both"/>
      </w:pPr>
      <w:r>
        <w:rPr>
          <w:rFonts w:ascii="Georgia" w:cs="Georgia" w:eastAsia="Georgia" w:hAnsi="Georgia"/>
          <w:sz w:val="24"/>
          <w:szCs w:val="24"/>
        </w:rPr>
        <w:t xml:space="preserve">A thoughtful, educated believer who reads the New Testament in Greek and distrusts later doctrinal accretions could be drawn to several JW positions for reasons that deserve serious engagement rather than dismissal.</w:t>
      </w:r>
    </w:p>
    <w:p>
      <w:pPr>
        <w:spacing w:after="180" w:line="312"/>
        <w:jc w:val="both"/>
      </w:pPr>
      <w:r>
        <w:rPr>
          <w:rFonts w:ascii="Georgia" w:cs="Georgia" w:eastAsia="Georgia" w:hAnsi="Georgia"/>
          <w:b/>
          <w:bCs/>
          <w:sz w:val="24"/>
          <w:szCs w:val="24"/>
        </w:rPr>
        <w:t xml:space="preserve">First, the pre-Nicene diversity of Christology. </w:t>
      </w:r>
      <w:r>
        <w:rPr>
          <w:rFonts w:ascii="Georgia" w:cs="Georgia" w:eastAsia="Georgia" w:hAnsi="Georgia"/>
          <w:sz w:val="24"/>
          <w:szCs w:val="24"/>
        </w:rPr>
        <w:t xml:space="preserve">Scholars such as Larry Hurtado (Lord Jesus Christ, Eerdmans 2003) and Bart Ehrman (How Jesus Became God, HarperOne 2014) document that the earliest Christians held a range of views about Jesus’s relationship to God. Some early sources (e.g., the Shepherd of Hermas, certain readings of Justin Martyr’s subordinationism) express ideas closer to what JWs teach than to Nicene orthodoxy. A sincere reader encountering this diversity might reasonably wonder whether the Trinitarian settlement was a later development rather than an apostolic given.</w:t>
      </w:r>
    </w:p>
    <w:p>
      <w:pPr>
        <w:spacing w:after="180" w:line="312"/>
        <w:jc w:val="both"/>
      </w:pPr>
      <w:r>
        <w:rPr>
          <w:rFonts w:ascii="Georgia" w:cs="Georgia" w:eastAsia="Georgia" w:hAnsi="Georgia"/>
          <w:b/>
          <w:bCs/>
          <w:sz w:val="24"/>
          <w:szCs w:val="24"/>
        </w:rPr>
        <w:t xml:space="preserve">Second, the divine name. </w:t>
      </w:r>
      <w:r>
        <w:rPr>
          <w:rFonts w:ascii="Georgia" w:cs="Georgia" w:eastAsia="Georgia" w:hAnsi="Georgia"/>
          <w:sz w:val="24"/>
          <w:szCs w:val="24"/>
        </w:rPr>
        <w:t xml:space="preserve">The Tetragrammaton (YHWH) appears nearly 7,000 times in the Hebrew Bible. The Septuagint manuscripts from Qumran and early papyri (such as 4QLXXLev and Papyrus Fouad 266) preserve the Hebrew characters or a transliteration of the divine name rather than substituting kyrios. George Howard (“The Tetragram and the New Testament,” Journal of Biblical Literature 96.1, 1977, pp. 63–68) argued that the original New Testament may have contained the Tetragrammaton in Old Testament quotations, with kyrios replacing it only in later copying. This is a minority view, but it is not fringe, and a sincere student could find it persuasive.</w:t>
      </w:r>
    </w:p>
    <w:p>
      <w:pPr>
        <w:spacing w:after="180" w:line="312"/>
        <w:jc w:val="both"/>
      </w:pPr>
      <w:r>
        <w:rPr>
          <w:rFonts w:ascii="Georgia" w:cs="Georgia" w:eastAsia="Georgia" w:hAnsi="Georgia"/>
          <w:b/>
          <w:bCs/>
          <w:sz w:val="24"/>
          <w:szCs w:val="24"/>
        </w:rPr>
        <w:t xml:space="preserve">Third, the corruption of institutional Christianity. </w:t>
      </w:r>
      <w:r>
        <w:rPr>
          <w:rFonts w:ascii="Georgia" w:cs="Georgia" w:eastAsia="Georgia" w:hAnsi="Georgia"/>
          <w:sz w:val="24"/>
          <w:szCs w:val="24"/>
        </w:rPr>
        <w:t xml:space="preserve">Anyone who reads Eusebius’s Ecclesiastical History or studies the Constantinian settlement can see that the fourth-century church was deeply entangled with imperial politics. The development of creeds under imperial patronage, the persecution of dissenters, and the absorption of pagan cultural forms are historical facts, not JW propaganda. A sincere Christian alarmed by this trajectory might be receptive to the JW narrative that “true Christianity” went underground after the apostolic period.</w:t>
      </w:r>
    </w:p>
    <w:p>
      <w:pPr>
        <w:spacing w:after="180" w:line="312"/>
        <w:jc w:val="both"/>
      </w:pPr>
      <w:r>
        <w:rPr>
          <w:rFonts w:ascii="Georgia" w:cs="Georgia" w:eastAsia="Georgia" w:hAnsi="Georgia"/>
          <w:b/>
          <w:bCs/>
          <w:sz w:val="24"/>
          <w:szCs w:val="24"/>
        </w:rPr>
        <w:t xml:space="preserve">Fourth, separation from false religion. </w:t>
      </w:r>
      <w:r>
        <w:rPr>
          <w:rFonts w:ascii="Georgia" w:cs="Georgia" w:eastAsia="Georgia" w:hAnsi="Georgia"/>
          <w:sz w:val="24"/>
          <w:szCs w:val="24"/>
        </w:rPr>
        <w:t xml:space="preserve">Passages such as 2 Corinthians 6:14–18 (“Come out from among them and be separate”), Revelation 18:4 (“Get out of her, my people”), and Matthew 7:13–14 (the narrow gate) do encourage a sharp distinction between true and false worship. A reader predisposed to see institutional Christianity as compromised could read these as mandating separation from mainstream churches.</w:t>
      </w:r>
    </w:p>
    <w:p>
      <w:pPr>
        <w:spacing w:after="180" w:line="312"/>
        <w:jc w:val="both"/>
      </w:pPr>
      <w:r>
        <w:rPr>
          <w:rFonts w:ascii="Georgia" w:cs="Georgia" w:eastAsia="Georgia" w:hAnsi="Georgia"/>
          <w:sz w:val="24"/>
          <w:szCs w:val="24"/>
        </w:rPr>
        <w:t xml:space="preserve">None of these points is irrational. Each involves real data from the Greek text, from manuscript evidence, or from early Christian history. The question is whether the JW synthesis of these data—culminating in the claim that one specific modern organization is God’s sole channel—follows from the evidence, or whether it requires interpretive leaps that the evidence does not compel.</w:t>
      </w:r>
    </w:p>
    <w:p>
      <w:r>
        <w:br w:type="page"/>
      </w:r>
    </w:p>
    <w:p>
      <w:pPr>
        <w:pStyle w:val="Heading1"/>
        <w:spacing w:before="360" w:after="200"/>
      </w:pPr>
      <w:r>
        <w:rPr>
          <w:rFonts w:ascii="Georgia" w:cs="Georgia" w:eastAsia="Georgia" w:hAnsi="Georgia"/>
          <w:b/>
          <w:bCs/>
          <w:color w:val="1A1A2E"/>
          <w:sz w:val="30"/>
          <w:szCs w:val="30"/>
        </w:rPr>
        <w:t xml:space="preserve">3. Three Major Passages and Doctrinal Pressure Points</w:t>
      </w:r>
    </w:p>
    <w:p>
      <w:pPr>
        <w:pStyle w:val="Heading2"/>
        <w:spacing w:before="300" w:after="160"/>
      </w:pPr>
      <w:r>
        <w:rPr>
          <w:rFonts w:ascii="Georgia" w:cs="Georgia" w:eastAsia="Georgia" w:hAnsi="Georgia"/>
          <w:b/>
          <w:bCs/>
          <w:color w:val="2C3E50"/>
          <w:sz w:val="26"/>
          <w:szCs w:val="26"/>
        </w:rPr>
        <w:t xml:space="preserve">Major Point 1: Matthew 24:45–47 — The “Faithful and Discreet Slave”</w:t>
      </w:r>
    </w:p>
    <w:p>
      <w:pPr>
        <w:pStyle w:val="Heading3"/>
        <w:spacing w:before="240" w:after="120"/>
      </w:pPr>
      <w:r>
        <w:rPr>
          <w:rFonts w:ascii="Georgia" w:cs="Georgia" w:eastAsia="Georgia" w:hAnsi="Georgia"/>
          <w:b/>
          <w:bCs/>
          <w:i/>
          <w:iCs/>
          <w:color w:val="34495E"/>
          <w:sz w:val="24"/>
          <w:szCs w:val="24"/>
        </w:rPr>
        <w:t xml:space="preserve">a. The Greek Text</w:t>
      </w:r>
    </w:p>
    <w:p>
      <w:pPr>
        <w:spacing w:after="180" w:line="312"/>
        <w:jc w:val="both"/>
      </w:pPr>
      <w:r>
        <w:rPr>
          <w:rFonts w:ascii="Georgia" w:cs="Georgia" w:eastAsia="Georgia" w:hAnsi="Georgia"/>
          <w:i/>
          <w:iCs/>
          <w:sz w:val="24"/>
          <w:szCs w:val="24"/>
        </w:rPr>
        <w:t xml:space="preserve">Tis ara estin ho pistos doulos kai phronimos, hon katestēsen ho kyrios epi tēs oiketeias autou tou dounai autois tēn trophēn en kairōi? makarios ho doulos ekeinos hon elthōn ho kyrios autou heurēsei houtōs poiounta. amēn legō hymin hoti epi pasin tois hyparchousin autou katastēsei auton.</w:t>
      </w:r>
    </w:p>
    <w:p>
      <w:pPr>
        <w:pStyle w:val="Heading3"/>
        <w:spacing w:before="240" w:after="120"/>
      </w:pPr>
      <w:r>
        <w:rPr>
          <w:rFonts w:ascii="Georgia" w:cs="Georgia" w:eastAsia="Georgia" w:hAnsi="Georgia"/>
          <w:b/>
          <w:bCs/>
          <w:i/>
          <w:iCs/>
          <w:color w:val="34495E"/>
          <w:sz w:val="24"/>
          <w:szCs w:val="24"/>
        </w:rPr>
        <w:t xml:space="preserve">b. Key Greek Features</w:t>
      </w:r>
    </w:p>
    <w:p>
      <w:pPr>
        <w:spacing w:after="180" w:line="312"/>
        <w:jc w:val="both"/>
      </w:pPr>
      <w:r>
        <w:rPr>
          <w:rFonts w:ascii="Georgia" w:cs="Georgia" w:eastAsia="Georgia" w:hAnsi="Georgia"/>
          <w:sz w:val="24"/>
          <w:szCs w:val="24"/>
        </w:rPr>
        <w:t xml:space="preserve">The phrase ho pistos doulos kai phronimos uses two predicate adjectives: pistos (‘faithful, trustworthy’) and phronimos (‘prudent, sensible, wise’). The NWT renders phronimos as ‘discreet,’ which is lexically possible but unusual: BDAG (A Greek-English Lexicon of the New Testament, 3rd ed., Bauer, Danker et al., 2000) gives the primary glosses as ‘thoughtful, sensible, prudent, wise.’ ‘Discreet’ in modern English connotes secretiveness or tactfulness, which is not the Greek sense. The ESV and NASB render it ‘wise,’ the NIV ‘faithful and wise.’ The KJV has ‘faithful and wise.’</w:t>
      </w:r>
    </w:p>
    <w:p>
      <w:pPr>
        <w:spacing w:after="180" w:line="312"/>
        <w:jc w:val="both"/>
      </w:pPr>
      <w:r>
        <w:rPr>
          <w:rFonts w:ascii="Georgia" w:cs="Georgia" w:eastAsia="Georgia" w:hAnsi="Georgia"/>
          <w:sz w:val="24"/>
          <w:szCs w:val="24"/>
        </w:rPr>
        <w:t xml:space="preserve">The construction tis ara estin (‘who then is’) is an interrogative expecting an answer, but it does not grammatically require that any specific individual or group be identified prophetically. The indefinite tis (‘who?’) and the parabolic context (note the parallel parable of the wicked slave in vv. 48–51) suggest a hypothetical or illustrative figure, not a title to be assigned to a future institution.</w:t>
      </w:r>
    </w:p>
    <w:p>
      <w:pPr>
        <w:pStyle w:val="Heading3"/>
        <w:spacing w:before="240" w:after="120"/>
      </w:pPr>
      <w:r>
        <w:rPr>
          <w:rFonts w:ascii="Georgia" w:cs="Georgia" w:eastAsia="Georgia" w:hAnsi="Georgia"/>
          <w:b/>
          <w:bCs/>
          <w:i/>
          <w:iCs/>
          <w:color w:val="34495E"/>
          <w:sz w:val="24"/>
          <w:szCs w:val="24"/>
        </w:rPr>
        <w:t xml:space="preserve">c. Literary and Historical Context</w:t>
      </w:r>
    </w:p>
    <w:p>
      <w:pPr>
        <w:spacing w:after="180" w:line="312"/>
        <w:jc w:val="both"/>
      </w:pPr>
      <w:r>
        <w:rPr>
          <w:rFonts w:ascii="Georgia" w:cs="Georgia" w:eastAsia="Georgia" w:hAnsi="Georgia"/>
          <w:sz w:val="24"/>
          <w:szCs w:val="24"/>
        </w:rPr>
        <w:t xml:space="preserve">Matthew 24–25 is part of the Olivet Discourse, a series of parables about preparedness for the parousia. The immediate literary context is a string of parables: the faithful/wicked slave (24:45–51), the ten virgins (25:1–13), the talents (25:14–30), and the sheep and goats (25:31–46). Each parable makes the same basic point: be ready, be faithful, be productive. Interpreting one parable as a prophetic appointment of a governing body while treating the adjacent parables as mere moral illustrations requires a hermeneutical asymmetry that the text itself does not signal.</w:t>
      </w:r>
    </w:p>
    <w:p>
      <w:pPr>
        <w:spacing w:after="180" w:line="312"/>
        <w:jc w:val="both"/>
      </w:pPr>
      <w:r>
        <w:rPr>
          <w:rFonts w:ascii="Georgia" w:cs="Georgia" w:eastAsia="Georgia" w:hAnsi="Georgia"/>
          <w:sz w:val="24"/>
          <w:szCs w:val="24"/>
        </w:rPr>
        <w:t xml:space="preserve">Historically, the earliest Christian commentators (e.g., John Chrysostom, Homilies on Matthew 77) read this as a general exhortation to church leaders, not as a prophecy about a specific end-time organization. No pre-modern commentator identified the ‘faithful slave’ with a particular institutional body.</w:t>
      </w:r>
    </w:p>
    <w:p>
      <w:pPr>
        <w:pStyle w:val="Heading3"/>
        <w:spacing w:before="240" w:after="120"/>
      </w:pPr>
      <w:r>
        <w:rPr>
          <w:rFonts w:ascii="Georgia" w:cs="Georgia" w:eastAsia="Georgia" w:hAnsi="Georgia"/>
          <w:b/>
          <w:bCs/>
          <w:i/>
          <w:iCs/>
          <w:color w:val="34495E"/>
          <w:sz w:val="24"/>
          <w:szCs w:val="24"/>
        </w:rPr>
        <w:t xml:space="preserve">d. Translation Comparison</w:t>
      </w:r>
    </w:p>
    <w:p>
      <w:pPr>
        <w:spacing w:after="180" w:line="312"/>
        <w:jc w:val="both"/>
      </w:pPr>
      <w:r>
        <w:rPr>
          <w:rFonts w:ascii="Georgia" w:cs="Georgia" w:eastAsia="Georgia" w:hAnsi="Georgia"/>
          <w:b/>
          <w:bCs/>
          <w:sz w:val="24"/>
          <w:szCs w:val="24"/>
        </w:rPr>
        <w:t xml:space="preserve">NWT (2013): </w:t>
      </w:r>
      <w:r>
        <w:rPr>
          <w:rFonts w:ascii="Georgia" w:cs="Georgia" w:eastAsia="Georgia" w:hAnsi="Georgia"/>
          <w:sz w:val="24"/>
          <w:szCs w:val="24"/>
        </w:rPr>
        <w:t xml:space="preserve">“Who really is the faithful and discreet slave whom his master appointed over his domestics, to give them their food at the proper time?”</w:t>
      </w:r>
    </w:p>
    <w:p>
      <w:pPr>
        <w:spacing w:after="180" w:line="312"/>
        <w:jc w:val="both"/>
      </w:pPr>
      <w:r>
        <w:rPr>
          <w:rFonts w:ascii="Georgia" w:cs="Georgia" w:eastAsia="Georgia" w:hAnsi="Georgia"/>
          <w:b/>
          <w:bCs/>
          <w:sz w:val="24"/>
          <w:szCs w:val="24"/>
        </w:rPr>
        <w:t xml:space="preserve">ESV: </w:t>
      </w:r>
      <w:r>
        <w:rPr>
          <w:rFonts w:ascii="Georgia" w:cs="Georgia" w:eastAsia="Georgia" w:hAnsi="Georgia"/>
          <w:sz w:val="24"/>
          <w:szCs w:val="24"/>
        </w:rPr>
        <w:t xml:space="preserve">“Who then is the faithful and wise servant, whom his master has set over his household, to give them their food at the proper time?”</w:t>
      </w:r>
    </w:p>
    <w:p>
      <w:pPr>
        <w:spacing w:after="180" w:line="312"/>
        <w:jc w:val="both"/>
      </w:pPr>
      <w:r>
        <w:rPr>
          <w:rFonts w:ascii="Georgia" w:cs="Georgia" w:eastAsia="Georgia" w:hAnsi="Georgia"/>
          <w:b/>
          <w:bCs/>
          <w:sz w:val="24"/>
          <w:szCs w:val="24"/>
        </w:rPr>
        <w:t xml:space="preserve">NASB (2020): </w:t>
      </w:r>
      <w:r>
        <w:rPr>
          <w:rFonts w:ascii="Georgia" w:cs="Georgia" w:eastAsia="Georgia" w:hAnsi="Georgia"/>
          <w:sz w:val="24"/>
          <w:szCs w:val="24"/>
        </w:rPr>
        <w:t xml:space="preserve">“Who then is the faithful and sensible slave whom his master put in charge of his household slaves, to give them their food at the proper time?”</w:t>
      </w:r>
    </w:p>
    <w:p>
      <w:pPr>
        <w:spacing w:after="180" w:line="312"/>
        <w:jc w:val="both"/>
      </w:pPr>
      <w:r>
        <w:rPr>
          <w:rFonts w:ascii="Georgia" w:cs="Georgia" w:eastAsia="Georgia" w:hAnsi="Georgia"/>
          <w:sz w:val="24"/>
          <w:szCs w:val="24"/>
        </w:rPr>
        <w:t xml:space="preserve">The NWT’s rendering is not egregiously wrong, but ‘discreet’ is a minor tendentious choice: it gives the phrase a distinctive ring that makes it function as a quasi-title rather than a generic description. The NASB’s ‘sensible’ is closer to BDAG’s range.</w:t>
      </w:r>
    </w:p>
    <w:p>
      <w:pPr>
        <w:pStyle w:val="Heading3"/>
        <w:spacing w:before="240" w:after="120"/>
      </w:pPr>
      <w:r>
        <w:rPr>
          <w:rFonts w:ascii="Georgia" w:cs="Georgia" w:eastAsia="Georgia" w:hAnsi="Georgia"/>
          <w:b/>
          <w:bCs/>
          <w:i/>
          <w:iCs/>
          <w:color w:val="34495E"/>
          <w:sz w:val="24"/>
          <w:szCs w:val="24"/>
        </w:rPr>
        <w:t xml:space="preserve">e. JW Interpretation</w:t>
      </w:r>
    </w:p>
    <w:p>
      <w:pPr>
        <w:spacing w:after="180" w:line="312"/>
        <w:jc w:val="both"/>
      </w:pPr>
      <w:r>
        <w:rPr>
          <w:rFonts w:ascii="Georgia" w:cs="Georgia" w:eastAsia="Georgia" w:hAnsi="Georgia"/>
          <w:sz w:val="24"/>
          <w:szCs w:val="24"/>
        </w:rPr>
        <w:t xml:space="preserve">The Watchtower teaches that ‘the faithful and discreet slave’ is the Governing Body of Jehovah’s Witnesses, appointed by Christ in 1919 to dispense spiritual food to the worldwide congregation. This identification is the linchpin of JW institutional authority (see The Watchtower, July 15, 2013, pp. 20–25, which revised the earlier teaching that the slave was all anointed Christians collectively).</w:t>
      </w:r>
    </w:p>
    <w:p>
      <w:pPr>
        <w:pStyle w:val="Heading3"/>
        <w:spacing w:before="240" w:after="120"/>
      </w:pPr>
      <w:r>
        <w:rPr>
          <w:rFonts w:ascii="Georgia" w:cs="Georgia" w:eastAsia="Georgia" w:hAnsi="Georgia"/>
          <w:b/>
          <w:bCs/>
          <w:i/>
          <w:iCs/>
          <w:color w:val="34495E"/>
          <w:sz w:val="24"/>
          <w:szCs w:val="24"/>
        </w:rPr>
        <w:t xml:space="preserve">f. Mainstream Scholarly and Traditional Interpretation</w:t>
      </w:r>
    </w:p>
    <w:p>
      <w:pPr>
        <w:spacing w:after="180" w:line="312"/>
        <w:jc w:val="both"/>
      </w:pPr>
      <w:r>
        <w:rPr>
          <w:rFonts w:ascii="Georgia" w:cs="Georgia" w:eastAsia="Georgia" w:hAnsi="Georgia"/>
          <w:sz w:val="24"/>
          <w:szCs w:val="24"/>
        </w:rPr>
        <w:t xml:space="preserve">Most commentators (e.g., W.D. Davies and Dale Allison, Matthew, ICC, T&amp;T Clark, 1997, vol. 3; R.T. France, The Gospel of Matthew, NICNT, Eerdmans, 2007) read the parable as addressed generically to all disciples or church leaders. The parable warns against unfaithfulness rather than identifying a specific eschatological office. France explicitly notes that the parable is about attitude, not appointment (NICNT, p. 942).</w:t>
      </w:r>
    </w:p>
    <w:p>
      <w:pPr>
        <w:pStyle w:val="Heading3"/>
        <w:spacing w:before="240" w:after="120"/>
      </w:pPr>
      <w:r>
        <w:rPr>
          <w:rFonts w:ascii="Georgia" w:cs="Georgia" w:eastAsia="Georgia" w:hAnsi="Georgia"/>
          <w:b/>
          <w:bCs/>
          <w:i/>
          <w:iCs/>
          <w:color w:val="34495E"/>
          <w:sz w:val="24"/>
          <w:szCs w:val="24"/>
        </w:rPr>
        <w:t xml:space="preserve">g. Nature of the Disagreement</w:t>
      </w:r>
    </w:p>
    <w:p>
      <w:pPr>
        <w:spacing w:after="180" w:line="312"/>
        <w:jc w:val="both"/>
      </w:pPr>
      <w:r>
        <w:rPr>
          <w:rFonts w:ascii="Georgia" w:cs="Georgia" w:eastAsia="Georgia" w:hAnsi="Georgia"/>
          <w:sz w:val="24"/>
          <w:szCs w:val="24"/>
        </w:rPr>
        <w:t xml:space="preserve">This is overwhelmingly an interpretation and system-building issue, not a translation issue. The NWT’s minor translation choice (‘discreet’ for phronimos) facilitates the institutional reading but does not create it. Any translation of this passage could be read in the JW way; it requires an external interpretive framework—specifically, the dispensationalist claim that Christ inspected churches in 1914–1919 and appointed the Watch Tower organization—to yield the JW conclusion. This framework is nowhere in the Greek text or its historical context.</w:t>
      </w:r>
    </w:p>
    <w:p>
      <w:pPr>
        <w:pStyle w:val="Heading3"/>
        <w:spacing w:before="240" w:after="120"/>
      </w:pPr>
      <w:r>
        <w:rPr>
          <w:rFonts w:ascii="Georgia" w:cs="Georgia" w:eastAsia="Georgia" w:hAnsi="Georgia"/>
          <w:b/>
          <w:bCs/>
          <w:i/>
          <w:iCs/>
          <w:color w:val="34495E"/>
          <w:sz w:val="24"/>
          <w:szCs w:val="24"/>
        </w:rPr>
        <w:t xml:space="preserve">h. Verdict</w:t>
      </w:r>
    </w:p>
    <w:p>
      <w:pPr>
        <w:spacing w:after="180" w:line="312"/>
        <w:jc w:val="both"/>
      </w:pPr>
      <w:r>
        <w:rPr>
          <w:rFonts w:ascii="Georgia" w:cs="Georgia" w:eastAsia="Georgia" w:hAnsi="Georgia"/>
          <w:sz w:val="24"/>
          <w:szCs w:val="24"/>
        </w:rPr>
        <w:t xml:space="preserve">The NWT’s translation is mildly tendentious but not seriously distortive. The real issue is the interpretive leap from parable to institutional identification. Neither the Greek grammar, the literary context, nor the historical setting supports reading the passage as a prophecy about a specific modern organization. This is the single most important passage for JW exclusivity, and it is the one where the gap between text and doctrine is widest.</w:t>
      </w:r>
    </w:p>
    <w:p>
      <w:r>
        <w:br w:type="page"/>
      </w:r>
    </w:p>
    <w:p>
      <w:pPr>
        <w:pStyle w:val="Heading2"/>
        <w:spacing w:before="300" w:after="160"/>
      </w:pPr>
      <w:r>
        <w:rPr>
          <w:rFonts w:ascii="Georgia" w:cs="Georgia" w:eastAsia="Georgia" w:hAnsi="Georgia"/>
          <w:b/>
          <w:bCs/>
          <w:color w:val="2C3E50"/>
          <w:sz w:val="26"/>
          <w:szCs w:val="26"/>
        </w:rPr>
        <w:t xml:space="preserve">Major Point 2: John 10:16 — “Other Sheep” and the Two-Class System</w:t>
      </w:r>
    </w:p>
    <w:p>
      <w:pPr>
        <w:pStyle w:val="Heading3"/>
        <w:spacing w:before="240" w:after="120"/>
      </w:pPr>
      <w:r>
        <w:rPr>
          <w:rFonts w:ascii="Georgia" w:cs="Georgia" w:eastAsia="Georgia" w:hAnsi="Georgia"/>
          <w:b/>
          <w:bCs/>
          <w:i/>
          <w:iCs/>
          <w:color w:val="34495E"/>
          <w:sz w:val="24"/>
          <w:szCs w:val="24"/>
        </w:rPr>
        <w:t xml:space="preserve">a. The Greek Text</w:t>
      </w:r>
    </w:p>
    <w:p>
      <w:pPr>
        <w:spacing w:after="180" w:line="312"/>
        <w:jc w:val="both"/>
      </w:pPr>
      <w:r>
        <w:rPr>
          <w:rFonts w:ascii="Georgia" w:cs="Georgia" w:eastAsia="Georgia" w:hAnsi="Georgia"/>
          <w:i/>
          <w:iCs/>
          <w:sz w:val="24"/>
          <w:szCs w:val="24"/>
        </w:rPr>
        <w:t xml:space="preserve">Kai alla probata echō ha ouk estin ek tēs aulēs tautēs; kakeina dei me agagein kai tēs phōnēs mou akousousin, kai genēsontai mia poimnē, heis poimēn.</w:t>
      </w:r>
    </w:p>
    <w:p>
      <w:pPr>
        <w:pStyle w:val="Heading3"/>
        <w:spacing w:before="240" w:after="120"/>
      </w:pPr>
      <w:r>
        <w:rPr>
          <w:rFonts w:ascii="Georgia" w:cs="Georgia" w:eastAsia="Georgia" w:hAnsi="Georgia"/>
          <w:b/>
          <w:bCs/>
          <w:i/>
          <w:iCs/>
          <w:color w:val="34495E"/>
          <w:sz w:val="24"/>
          <w:szCs w:val="24"/>
        </w:rPr>
        <w:t xml:space="preserve">b. Key Greek Features</w:t>
      </w:r>
    </w:p>
    <w:p>
      <w:pPr>
        <w:spacing w:after="180" w:line="312"/>
        <w:jc w:val="both"/>
      </w:pPr>
      <w:r>
        <w:rPr>
          <w:rFonts w:ascii="Georgia" w:cs="Georgia" w:eastAsia="Georgia" w:hAnsi="Georgia"/>
          <w:sz w:val="24"/>
          <w:szCs w:val="24"/>
        </w:rPr>
        <w:t xml:space="preserve">alla probata (‘other sheep’) is straightforward. The critical phrase is ouk estin ek tēs aulēs tautēs (‘not of this fold/pen’). The noun aulē means ‘courtyard, sheepfold, enclosure.’ The pronoun tautēs (‘this’) implies a specific fold from which the sheep are distinguished. The sentence ends with mia poimnē, heis poimēn (‘one flock, one shepherd’), emphasizing unification, not permanent division into two classes.</w:t>
      </w:r>
    </w:p>
    <w:p>
      <w:pPr>
        <w:spacing w:after="180" w:line="312"/>
        <w:jc w:val="both"/>
      </w:pPr>
      <w:r>
        <w:rPr>
          <w:rFonts w:ascii="Georgia" w:cs="Georgia" w:eastAsia="Georgia" w:hAnsi="Georgia"/>
          <w:sz w:val="24"/>
          <w:szCs w:val="24"/>
        </w:rPr>
        <w:t xml:space="preserve">The verb genēsontai (future middle of ginomai) with mia poimnē means ‘they will become one flock.’ The grammar stresses unity of outcome, not duality of destiny. There is no hint that the ‘other sheep’ receive a different eschatological inheritance from the first group.</w:t>
      </w:r>
    </w:p>
    <w:p>
      <w:pPr>
        <w:pStyle w:val="Heading3"/>
        <w:spacing w:before="240" w:after="120"/>
      </w:pPr>
      <w:r>
        <w:rPr>
          <w:rFonts w:ascii="Georgia" w:cs="Georgia" w:eastAsia="Georgia" w:hAnsi="Georgia"/>
          <w:b/>
          <w:bCs/>
          <w:i/>
          <w:iCs/>
          <w:color w:val="34495E"/>
          <w:sz w:val="24"/>
          <w:szCs w:val="24"/>
        </w:rPr>
        <w:t xml:space="preserve">c. Literary and Historical Context</w:t>
      </w:r>
    </w:p>
    <w:p>
      <w:pPr>
        <w:spacing w:after="180" w:line="312"/>
        <w:jc w:val="both"/>
      </w:pPr>
      <w:r>
        <w:rPr>
          <w:rFonts w:ascii="Georgia" w:cs="Georgia" w:eastAsia="Georgia" w:hAnsi="Georgia"/>
          <w:sz w:val="24"/>
          <w:szCs w:val="24"/>
        </w:rPr>
        <w:t xml:space="preserve">In the context of John 10, Jesus is speaking to a Jewish audience. The ‘fold’ (aulē) most naturally refers to Israel, and the ‘other sheep’ to Gentiles who will be brought into the messianic community. This is the consensus reading among Johannine scholars (see Raymond Brown, The Gospel According to John I–XII, Anchor Bible, Doubleday, 1966, pp. 396–398; C.K. Barrett, The Gospel According to St John, 2nd ed., SPCK, 1978, p. 376). The passage parallels the universalizing trajectory of John’s Gospel (cf. John 11:52, ‘to gather into one the children of God who are scattered’).</w:t>
      </w:r>
    </w:p>
    <w:p>
      <w:pPr>
        <w:pStyle w:val="Heading3"/>
        <w:spacing w:before="240" w:after="120"/>
      </w:pPr>
      <w:r>
        <w:rPr>
          <w:rFonts w:ascii="Georgia" w:cs="Georgia" w:eastAsia="Georgia" w:hAnsi="Georgia"/>
          <w:b/>
          <w:bCs/>
          <w:i/>
          <w:iCs/>
          <w:color w:val="34495E"/>
          <w:sz w:val="24"/>
          <w:szCs w:val="24"/>
        </w:rPr>
        <w:t xml:space="preserve">d. Translation Comparison</w:t>
      </w:r>
    </w:p>
    <w:p>
      <w:pPr>
        <w:spacing w:after="180" w:line="312"/>
        <w:jc w:val="both"/>
      </w:pPr>
      <w:r>
        <w:rPr>
          <w:rFonts w:ascii="Georgia" w:cs="Georgia" w:eastAsia="Georgia" w:hAnsi="Georgia"/>
          <w:b/>
          <w:bCs/>
          <w:sz w:val="24"/>
          <w:szCs w:val="24"/>
        </w:rPr>
        <w:t xml:space="preserve">NWT (2013): </w:t>
      </w:r>
      <w:r>
        <w:rPr>
          <w:rFonts w:ascii="Georgia" w:cs="Georgia" w:eastAsia="Georgia" w:hAnsi="Georgia"/>
          <w:sz w:val="24"/>
          <w:szCs w:val="24"/>
        </w:rPr>
        <w:t xml:space="preserve">“And I have other sheep, which are not of this fold; those too I must bring in, and they will listen to my voice, and they will become one flock, one shepherd.”</w:t>
      </w:r>
    </w:p>
    <w:p>
      <w:pPr>
        <w:spacing w:after="180" w:line="312"/>
        <w:jc w:val="both"/>
      </w:pPr>
      <w:r>
        <w:rPr>
          <w:rFonts w:ascii="Georgia" w:cs="Georgia" w:eastAsia="Georgia" w:hAnsi="Georgia"/>
          <w:b/>
          <w:bCs/>
          <w:sz w:val="24"/>
          <w:szCs w:val="24"/>
        </w:rPr>
        <w:t xml:space="preserve">ESV: </w:t>
      </w:r>
      <w:r>
        <w:rPr>
          <w:rFonts w:ascii="Georgia" w:cs="Georgia" w:eastAsia="Georgia" w:hAnsi="Georgia"/>
          <w:sz w:val="24"/>
          <w:szCs w:val="24"/>
        </w:rPr>
        <w:t xml:space="preserve">“And I have other sheep that are not of this fold. I must bring them also, and they will listen to my voice. So there will be one flock, one shepherd.”</w:t>
      </w:r>
    </w:p>
    <w:p>
      <w:pPr>
        <w:spacing w:after="180" w:line="312"/>
        <w:jc w:val="both"/>
      </w:pPr>
      <w:r>
        <w:rPr>
          <w:rFonts w:ascii="Georgia" w:cs="Georgia" w:eastAsia="Georgia" w:hAnsi="Georgia"/>
          <w:sz w:val="24"/>
          <w:szCs w:val="24"/>
        </w:rPr>
        <w:t xml:space="preserve">The NWT’s translation is accurate. There is no tendentious rendering here. The two-class doctrine is not produced by the translation; it is imposed upon an accurate translation by an external theological system.</w:t>
      </w:r>
    </w:p>
    <w:p>
      <w:pPr>
        <w:pStyle w:val="Heading3"/>
        <w:spacing w:before="240" w:after="120"/>
      </w:pPr>
      <w:r>
        <w:rPr>
          <w:rFonts w:ascii="Georgia" w:cs="Georgia" w:eastAsia="Georgia" w:hAnsi="Georgia"/>
          <w:b/>
          <w:bCs/>
          <w:i/>
          <w:iCs/>
          <w:color w:val="34495E"/>
          <w:sz w:val="24"/>
          <w:szCs w:val="24"/>
        </w:rPr>
        <w:t xml:space="preserve">e. JW Interpretation</w:t>
      </w:r>
    </w:p>
    <w:p>
      <w:pPr>
        <w:spacing w:after="180" w:line="312"/>
        <w:jc w:val="both"/>
      </w:pPr>
      <w:r>
        <w:rPr>
          <w:rFonts w:ascii="Georgia" w:cs="Georgia" w:eastAsia="Georgia" w:hAnsi="Georgia"/>
          <w:sz w:val="24"/>
          <w:szCs w:val="24"/>
        </w:rPr>
        <w:t xml:space="preserve">The Watchtower teaches that the ‘other sheep’ are a class of Christians with an earthly hope, distinct from the 144,000 anointed who have a heavenly hope. This two-class system, formalized by J.F. Rutherford in 1935 (see “The Great Multitude,” The Watchtower, August 1, 1935), is central to JW identity and organizational structure: it determines who partakes of the Memorial emblems, who serves on the Governing Body, and who constitutes ‘the faithful and discreet slave.’</w:t>
      </w:r>
    </w:p>
    <w:p>
      <w:pPr>
        <w:pStyle w:val="Heading3"/>
        <w:spacing w:before="240" w:after="120"/>
      </w:pPr>
      <w:r>
        <w:rPr>
          <w:rFonts w:ascii="Georgia" w:cs="Georgia" w:eastAsia="Georgia" w:hAnsi="Georgia"/>
          <w:b/>
          <w:bCs/>
          <w:i/>
          <w:iCs/>
          <w:color w:val="34495E"/>
          <w:sz w:val="24"/>
          <w:szCs w:val="24"/>
        </w:rPr>
        <w:t xml:space="preserve">f. Mainstream Scholarly Interpretation</w:t>
      </w:r>
    </w:p>
    <w:p>
      <w:pPr>
        <w:spacing w:after="180" w:line="312"/>
        <w:jc w:val="both"/>
      </w:pPr>
      <w:r>
        <w:rPr>
          <w:rFonts w:ascii="Georgia" w:cs="Georgia" w:eastAsia="Georgia" w:hAnsi="Georgia"/>
          <w:sz w:val="24"/>
          <w:szCs w:val="24"/>
        </w:rPr>
        <w:t xml:space="preserve">The scholarly consensus, including both confessional and secular exegetes, is that John 10:16 refers to the inclusion of Gentiles, not to a two-tier eschatological class system. Brown (Anchor Bible, p. 396) is representative: ‘The other sheep are the Gentile Christians who will be brought together with the Jewish Christians into one flock.’ No major commentary on John identifies the ‘other sheep’ as an earthly-hope class distinct from a heavenly-hope class.</w:t>
      </w:r>
    </w:p>
    <w:p>
      <w:pPr>
        <w:pStyle w:val="Heading3"/>
        <w:spacing w:before="240" w:after="120"/>
      </w:pPr>
      <w:r>
        <w:rPr>
          <w:rFonts w:ascii="Georgia" w:cs="Georgia" w:eastAsia="Georgia" w:hAnsi="Georgia"/>
          <w:b/>
          <w:bCs/>
          <w:i/>
          <w:iCs/>
          <w:color w:val="34495E"/>
          <w:sz w:val="24"/>
          <w:szCs w:val="24"/>
        </w:rPr>
        <w:t xml:space="preserve">g. Nature of the Disagreement</w:t>
      </w:r>
    </w:p>
    <w:p>
      <w:pPr>
        <w:spacing w:after="180" w:line="312"/>
        <w:jc w:val="both"/>
      </w:pPr>
      <w:r>
        <w:rPr>
          <w:rFonts w:ascii="Georgia" w:cs="Georgia" w:eastAsia="Georgia" w:hAnsi="Georgia"/>
          <w:sz w:val="24"/>
          <w:szCs w:val="24"/>
        </w:rPr>
        <w:t xml:space="preserve">This is entirely an interpretation and system-building issue, not a translation issue. The NWT translates the verse correctly. The JW reading requires importing the 144,000/great-crowd dichotomy from Revelation (itself a further interpretation) back into John 10, which has no internal signal that it intends such a referent. The exegetical method is intertextual harmonization governed by a pre-existing doctrinal framework.</w:t>
      </w:r>
    </w:p>
    <w:p>
      <w:pPr>
        <w:pStyle w:val="Heading3"/>
        <w:spacing w:before="240" w:after="120"/>
      </w:pPr>
      <w:r>
        <w:rPr>
          <w:rFonts w:ascii="Georgia" w:cs="Georgia" w:eastAsia="Georgia" w:hAnsi="Georgia"/>
          <w:b/>
          <w:bCs/>
          <w:i/>
          <w:iCs/>
          <w:color w:val="34495E"/>
          <w:sz w:val="24"/>
          <w:szCs w:val="24"/>
        </w:rPr>
        <w:t xml:space="preserve">h. Verdict</w:t>
      </w:r>
    </w:p>
    <w:p>
      <w:pPr>
        <w:spacing w:after="180" w:line="312"/>
        <w:jc w:val="both"/>
      </w:pPr>
      <w:r>
        <w:rPr>
          <w:rFonts w:ascii="Georgia" w:cs="Georgia" w:eastAsia="Georgia" w:hAnsi="Georgia"/>
          <w:sz w:val="24"/>
          <w:szCs w:val="24"/>
        </w:rPr>
        <w:t xml:space="preserve">The NWT is not at fault here. The passage simply does not say what the Watchtower says it says. The Greek, the literary context, and the historical setting all point to Jewish/Gentile inclusion, not to a two-class soteriology. This is a clear case where exclusivity and institutional structure depend entirely on a reading imposed from outside the text.</w:t>
      </w:r>
    </w:p>
    <w:p>
      <w:r>
        <w:br w:type="page"/>
      </w:r>
    </w:p>
    <w:p>
      <w:pPr>
        <w:pStyle w:val="Heading2"/>
        <w:spacing w:before="300" w:after="160"/>
      </w:pPr>
      <w:r>
        <w:rPr>
          <w:rFonts w:ascii="Georgia" w:cs="Georgia" w:eastAsia="Georgia" w:hAnsi="Georgia"/>
          <w:b/>
          <w:bCs/>
          <w:color w:val="2C3E50"/>
          <w:sz w:val="26"/>
          <w:szCs w:val="26"/>
        </w:rPr>
        <w:t xml:space="preserve">Major Point 3: Revelation 7:4–8 and 7:9–17 — The 144,000 and the Great Crowd</w:t>
      </w:r>
    </w:p>
    <w:p>
      <w:pPr>
        <w:pStyle w:val="Heading3"/>
        <w:spacing w:before="240" w:after="120"/>
      </w:pPr>
      <w:r>
        <w:rPr>
          <w:rFonts w:ascii="Georgia" w:cs="Georgia" w:eastAsia="Georgia" w:hAnsi="Georgia"/>
          <w:b/>
          <w:bCs/>
          <w:i/>
          <w:iCs/>
          <w:color w:val="34495E"/>
          <w:sz w:val="24"/>
          <w:szCs w:val="24"/>
        </w:rPr>
        <w:t xml:space="preserve">a. The Greek Text (Summary)</w:t>
      </w:r>
    </w:p>
    <w:p>
      <w:pPr>
        <w:spacing w:after="180" w:line="312"/>
        <w:jc w:val="both"/>
      </w:pPr>
      <w:r>
        <w:rPr>
          <w:rFonts w:ascii="Georgia" w:cs="Georgia" w:eastAsia="Georgia" w:hAnsi="Georgia"/>
          <w:sz w:val="24"/>
          <w:szCs w:val="24"/>
        </w:rPr>
        <w:t xml:space="preserve">Revelation 7:4 gives the number hēkaton tesserakonta tessares chiliades (‘144,000’) as esphragismenoi (‘sealed ones’) from the twelve tribes of Israel. Revelation 7:9 introduces an ochlon polyn (‘great crowd’) hon arithmēsai auton oudeis edynato (‘which no one was able to number’), ek pantos ethnous (‘from every nation’), standing enopion tou thronou (‘before the throne’).</w:t>
      </w:r>
    </w:p>
    <w:p>
      <w:pPr>
        <w:pStyle w:val="Heading3"/>
        <w:spacing w:before="240" w:after="120"/>
      </w:pPr>
      <w:r>
        <w:rPr>
          <w:rFonts w:ascii="Georgia" w:cs="Georgia" w:eastAsia="Georgia" w:hAnsi="Georgia"/>
          <w:b/>
          <w:bCs/>
          <w:i/>
          <w:iCs/>
          <w:color w:val="34495E"/>
          <w:sz w:val="24"/>
          <w:szCs w:val="24"/>
        </w:rPr>
        <w:t xml:space="preserve">b. Key Greek Features</w:t>
      </w:r>
    </w:p>
    <w:p>
      <w:pPr>
        <w:spacing w:after="180" w:line="312"/>
        <w:jc w:val="both"/>
      </w:pPr>
      <w:r>
        <w:rPr>
          <w:rFonts w:ascii="Georgia" w:cs="Georgia" w:eastAsia="Georgia" w:hAnsi="Georgia"/>
          <w:sz w:val="24"/>
          <w:szCs w:val="24"/>
        </w:rPr>
        <w:t xml:space="preserve">The most contested phrase for JW theology is the location of the great crowd. Revelation 7:9 says they stand enopion tou thronou kai enopion tou arniou (‘before the throne and before the Lamb’). In Revelation’s own usage, enopion tou thronou consistently denotes being in God’s heavenly presence (cf. Rev 4:5, 4:6, 4:10, 8:3, 14:3). The Watchtower argues that the great crowd is on earth, not in heaven, interpreting enopion tou thronou as being ‘in sight of’ the throne rather than physically present before it (see Insight on the Scriptures, vol. 1, Watch Tower Bible and Tract Society, 1988, p. 1065). However, the same Greek phrase is used in Rev 14:3 for the 144,000 themselves, whom JWs acknowledge are in heaven. This creates an internal inconsistency in the JW hermeneutic.</w:t>
      </w:r>
    </w:p>
    <w:p>
      <w:pPr>
        <w:spacing w:after="180" w:line="312"/>
        <w:jc w:val="both"/>
      </w:pPr>
      <w:r>
        <w:rPr>
          <w:rFonts w:ascii="Georgia" w:cs="Georgia" w:eastAsia="Georgia" w:hAnsi="Georgia"/>
          <w:sz w:val="24"/>
          <w:szCs w:val="24"/>
        </w:rPr>
        <w:t xml:space="preserve">The word naos (‘temple, sanctuary’) in Rev 7:15 further complicates the JW reading. The great crowd ‘renders sacred service in his naos.’ In Revelation, naos typically refers to the heavenly sanctuary (Rev 11:19, 14:15, 14:17, 15:5–8, 16:1, 16:17). The Watchtower redefines naos in 7:15 as ‘the earthly courtyard of the temple’ (Insight on the Scriptures, vol. 1, p. 1065), but this is not how naos functions elsewhere in Revelation, where hieron (the broader temple complex) would be the expected term for a courtyard. G.K. Beale (The Book of Revelation, NIGTC, Eerdmans, 1999, pp. 441–442) and David Aune (Revelation 6–16, WBC, Thomas Nelson, 1998, p. 474) both note that naos in Revelation consistently means the inner heavenly sanctuary.</w:t>
      </w:r>
    </w:p>
    <w:p>
      <w:pPr>
        <w:pStyle w:val="Heading3"/>
        <w:spacing w:before="240" w:after="120"/>
      </w:pPr>
      <w:r>
        <w:rPr>
          <w:rFonts w:ascii="Georgia" w:cs="Georgia" w:eastAsia="Georgia" w:hAnsi="Georgia"/>
          <w:b/>
          <w:bCs/>
          <w:i/>
          <w:iCs/>
          <w:color w:val="34495E"/>
          <w:sz w:val="24"/>
          <w:szCs w:val="24"/>
        </w:rPr>
        <w:t xml:space="preserve">c. Translation Comparison</w:t>
      </w:r>
    </w:p>
    <w:p>
      <w:pPr>
        <w:spacing w:after="180" w:line="312"/>
        <w:jc w:val="both"/>
      </w:pPr>
      <w:r>
        <w:rPr>
          <w:rFonts w:ascii="Georgia" w:cs="Georgia" w:eastAsia="Georgia" w:hAnsi="Georgia"/>
          <w:b/>
          <w:bCs/>
          <w:sz w:val="24"/>
          <w:szCs w:val="24"/>
        </w:rPr>
        <w:t xml:space="preserve">NWT (2013): </w:t>
      </w:r>
      <w:r>
        <w:rPr>
          <w:rFonts w:ascii="Georgia" w:cs="Georgia" w:eastAsia="Georgia" w:hAnsi="Georgia"/>
          <w:sz w:val="24"/>
          <w:szCs w:val="24"/>
        </w:rPr>
        <w:t xml:space="preserve">“They are before the throne of God, and they are rendering him sacred service day and night in his temple.”</w:t>
      </w:r>
    </w:p>
    <w:p>
      <w:pPr>
        <w:spacing w:after="180" w:line="312"/>
        <w:jc w:val="both"/>
      </w:pPr>
      <w:r>
        <w:rPr>
          <w:rFonts w:ascii="Georgia" w:cs="Georgia" w:eastAsia="Georgia" w:hAnsi="Georgia"/>
          <w:b/>
          <w:bCs/>
          <w:sz w:val="24"/>
          <w:szCs w:val="24"/>
        </w:rPr>
        <w:t xml:space="preserve">ESV: </w:t>
      </w:r>
      <w:r>
        <w:rPr>
          <w:rFonts w:ascii="Georgia" w:cs="Georgia" w:eastAsia="Georgia" w:hAnsi="Georgia"/>
          <w:sz w:val="24"/>
          <w:szCs w:val="24"/>
        </w:rPr>
        <w:t xml:space="preserve">“Therefore they are before the throne of God, and serve him day and night in his temple.”</w:t>
      </w:r>
    </w:p>
    <w:p>
      <w:pPr>
        <w:spacing w:after="180" w:line="312"/>
        <w:jc w:val="both"/>
      </w:pPr>
      <w:r>
        <w:rPr>
          <w:rFonts w:ascii="Georgia" w:cs="Georgia" w:eastAsia="Georgia" w:hAnsi="Georgia"/>
          <w:sz w:val="24"/>
          <w:szCs w:val="24"/>
        </w:rPr>
        <w:t xml:space="preserve">Again, the NWT translates accurately. The word ‘temple’ for naos is correct. The tendentious move is not in the translation but in the subsequent theological claim that ‘temple’ here means the earthly courtyard.</w:t>
      </w:r>
    </w:p>
    <w:p>
      <w:pPr>
        <w:pStyle w:val="Heading3"/>
        <w:spacing w:before="240" w:after="120"/>
      </w:pPr>
      <w:r>
        <w:rPr>
          <w:rFonts w:ascii="Georgia" w:cs="Georgia" w:eastAsia="Georgia" w:hAnsi="Georgia"/>
          <w:b/>
          <w:bCs/>
          <w:i/>
          <w:iCs/>
          <w:color w:val="34495E"/>
          <w:sz w:val="24"/>
          <w:szCs w:val="24"/>
        </w:rPr>
        <w:t xml:space="preserve">d. JW Interpretation</w:t>
      </w:r>
    </w:p>
    <w:p>
      <w:pPr>
        <w:spacing w:after="180" w:line="312"/>
        <w:jc w:val="both"/>
      </w:pPr>
      <w:r>
        <w:rPr>
          <w:rFonts w:ascii="Georgia" w:cs="Georgia" w:eastAsia="Georgia" w:hAnsi="Georgia"/>
          <w:sz w:val="24"/>
          <w:szCs w:val="24"/>
        </w:rPr>
        <w:t xml:space="preserve">The Watchtower distinguishes the 144,000 (a literal number of anointed Christians destined for heavenly life) from the great crowd (an unlimited number with an earthly hope). This distinction structures the entire JW organization: it determines who is ‘anointed,’ who partakes of communion, who can serve on the Governing Body, and who expects to live forever on earth. The 1935 identification of the great crowd as the ‘other sheep’ of John 10:16 was a watershed moment in JW history (Rutherford, “The Great Multitude,” 1935).</w:t>
      </w:r>
    </w:p>
    <w:p>
      <w:pPr>
        <w:pStyle w:val="Heading3"/>
        <w:spacing w:before="240" w:after="120"/>
      </w:pPr>
      <w:r>
        <w:rPr>
          <w:rFonts w:ascii="Georgia" w:cs="Georgia" w:eastAsia="Georgia" w:hAnsi="Georgia"/>
          <w:b/>
          <w:bCs/>
          <w:i/>
          <w:iCs/>
          <w:color w:val="34495E"/>
          <w:sz w:val="24"/>
          <w:szCs w:val="24"/>
        </w:rPr>
        <w:t xml:space="preserve">e. Mainstream Scholarly Interpretation</w:t>
      </w:r>
    </w:p>
    <w:p>
      <w:pPr>
        <w:spacing w:after="180" w:line="312"/>
        <w:jc w:val="both"/>
      </w:pPr>
      <w:r>
        <w:rPr>
          <w:rFonts w:ascii="Georgia" w:cs="Georgia" w:eastAsia="Georgia" w:hAnsi="Georgia"/>
          <w:sz w:val="24"/>
          <w:szCs w:val="24"/>
        </w:rPr>
        <w:t xml:space="preserve">Most Revelation scholars (Beale, Aune, Richard Bauckham in The Theology of the Book of Revelation, Cambridge, 1993, pp. 76–77) read the 144,000 and the great crowd as two images of the same group, viewed from different perspectives: the first as a military census of God’s people (using Old Testament tribal imagery), the second as the innumerable redeemed multitude from all nations. Bauckham argues that this is John’s characteristic ‘hearing-then-seeing’ literary technique, the same pattern used for the Lion/Lamb in Rev 5:5–6. On this reading, both images describe the full people of God, and no two-class division is intended.</w:t>
      </w:r>
    </w:p>
    <w:p>
      <w:pPr>
        <w:pStyle w:val="Heading3"/>
        <w:spacing w:before="240" w:after="120"/>
      </w:pPr>
      <w:r>
        <w:rPr>
          <w:rFonts w:ascii="Georgia" w:cs="Georgia" w:eastAsia="Georgia" w:hAnsi="Georgia"/>
          <w:b/>
          <w:bCs/>
          <w:i/>
          <w:iCs/>
          <w:color w:val="34495E"/>
          <w:sz w:val="24"/>
          <w:szCs w:val="24"/>
        </w:rPr>
        <w:t xml:space="preserve">f. Verdict</w:t>
      </w:r>
    </w:p>
    <w:p>
      <w:pPr>
        <w:spacing w:after="180" w:line="312"/>
        <w:jc w:val="both"/>
      </w:pPr>
      <w:r>
        <w:rPr>
          <w:rFonts w:ascii="Georgia" w:cs="Georgia" w:eastAsia="Georgia" w:hAnsi="Georgia"/>
          <w:sz w:val="24"/>
          <w:szCs w:val="24"/>
        </w:rPr>
        <w:t xml:space="preserve">The NWT translates Revelation 7 accurately. The two-class system is not a translation product; it is an interpretive construction that reads the 144,000 and the great crowd as ontologically separate groups, assigns them different eschatological destinies, and then retro-imports this division into John 10:16. The Greek text of Revelation 7, read in its literary context and using Revelation’s own internal vocabulary consistently, does not naturally support this reading. The scholarly argument for the hearing/seeing pattern (Bauckham) is strong and based on Revelation’s own literary habits. The JW reading requires redefining enopion tou thronou and naos in ways inconsistent with their use elsewhere in the same book.</w:t>
      </w:r>
    </w:p>
    <w:p>
      <w:r>
        <w:br w:type="page"/>
      </w:r>
    </w:p>
    <w:p>
      <w:pPr>
        <w:pStyle w:val="Heading1"/>
        <w:spacing w:before="360" w:after="200"/>
      </w:pPr>
      <w:r>
        <w:rPr>
          <w:rFonts w:ascii="Georgia" w:cs="Georgia" w:eastAsia="Georgia" w:hAnsi="Georgia"/>
          <w:b/>
          <w:bCs/>
          <w:color w:val="1A1A2E"/>
          <w:sz w:val="30"/>
          <w:szCs w:val="30"/>
        </w:rPr>
        <w:t xml:space="preserve">4. Four to Six Minor Passages and Issues</w:t>
      </w:r>
    </w:p>
    <w:p>
      <w:pPr>
        <w:pStyle w:val="Heading2"/>
        <w:spacing w:before="300" w:after="160"/>
      </w:pPr>
      <w:r>
        <w:rPr>
          <w:rFonts w:ascii="Georgia" w:cs="Georgia" w:eastAsia="Georgia" w:hAnsi="Georgia"/>
          <w:b/>
          <w:bCs/>
          <w:color w:val="2C3E50"/>
          <w:sz w:val="26"/>
          <w:szCs w:val="26"/>
        </w:rPr>
        <w:t xml:space="preserve">4.1. John 1:1c — “a god” vs. “was God”</w:t>
      </w:r>
    </w:p>
    <w:p>
      <w:pPr>
        <w:spacing w:after="180" w:line="312"/>
        <w:jc w:val="both"/>
      </w:pPr>
      <w:r>
        <w:rPr>
          <w:rFonts w:ascii="Georgia" w:cs="Georgia" w:eastAsia="Georgia" w:hAnsi="Georgia"/>
          <w:sz w:val="24"/>
          <w:szCs w:val="24"/>
        </w:rPr>
        <w:t xml:space="preserve">The Greek reads </w:t>
      </w:r>
      <w:r>
        <w:rPr>
          <w:rFonts w:ascii="Georgia" w:cs="Georgia" w:eastAsia="Georgia" w:hAnsi="Georgia"/>
          <w:i/>
          <w:iCs/>
          <w:sz w:val="24"/>
          <w:szCs w:val="24"/>
        </w:rPr>
        <w:t xml:space="preserve">kai theos ēn ho logos</w:t>
      </w:r>
      <w:r>
        <w:rPr>
          <w:rFonts w:ascii="Georgia" w:cs="Georgia" w:eastAsia="Georgia" w:hAnsi="Georgia"/>
          <w:sz w:val="24"/>
          <w:szCs w:val="24"/>
        </w:rPr>
        <w:t xml:space="preserve">. The predicate noun theos is anarthrous (lacks the article) and precedes the verb. The NWT renders this “the Word was a god.” Philip Harner (“Qualitative Anarthrous Predicate Nouns: Mark 15:39 and John 1:1,” Journal of Biblical Literature 92.1, 1973, pp. 75–87) demonstrated that pre-verbal anarthrous predicate nouns in Greek are primarily qualitative, meaning ‘the Word was divine in nature’ or ‘what God was, the Word was.’ The NWT’s ‘a god’ is an indefinite reading that, while grammatically conceivable in isolation, is contextually strained and goes against the qualitative analysis accepted by the majority of Greek grammarians, including Daniel Wallace (Greek Grammar Beyond the Basics, Zondervan, 1996, pp. 256–270). However, mainstream translations rendering ‘the Word was God’ risk implying full numerical identity between the Word and the Father, which the context resists (the Word was also pros ton theon, ‘with God’). A rendering like ‘the Word was divine’ or ‘what God was, the Word was’ (as in the NEB) may be closest to the Greek sense. </w:t>
      </w:r>
      <w:r>
        <w:rPr>
          <w:rFonts w:ascii="Georgia" w:cs="Georgia" w:eastAsia="Georgia" w:hAnsi="Georgia"/>
          <w:b/>
          <w:bCs/>
          <w:sz w:val="24"/>
          <w:szCs w:val="24"/>
        </w:rPr>
        <w:t xml:space="preserve">Relevance to exclusivity: moderate. </w:t>
      </w:r>
      <w:r>
        <w:rPr>
          <w:rFonts w:ascii="Georgia" w:cs="Georgia" w:eastAsia="Georgia" w:hAnsi="Georgia"/>
          <w:sz w:val="24"/>
          <w:szCs w:val="24"/>
        </w:rPr>
        <w:t xml:space="preserve">This is primarily a Christological issue, but it undergirds the JW rejection of Trinitarianism, which in turn supports the claim that mainstream Christianity is apostate.</w:t>
      </w:r>
    </w:p>
    <w:p>
      <w:pPr>
        <w:pStyle w:val="Heading2"/>
        <w:spacing w:before="300" w:after="160"/>
      </w:pPr>
      <w:r>
        <w:rPr>
          <w:rFonts w:ascii="Georgia" w:cs="Georgia" w:eastAsia="Georgia" w:hAnsi="Georgia"/>
          <w:b/>
          <w:bCs/>
          <w:color w:val="2C3E50"/>
          <w:sz w:val="26"/>
          <w:szCs w:val="26"/>
        </w:rPr>
        <w:t xml:space="preserve">4.2. Colossians 1:15–17 — Insertion of “other”</w:t>
      </w:r>
    </w:p>
    <w:p>
      <w:pPr>
        <w:spacing w:after="180" w:line="312"/>
        <w:jc w:val="both"/>
      </w:pPr>
      <w:r>
        <w:rPr>
          <w:rFonts w:ascii="Georgia" w:cs="Georgia" w:eastAsia="Georgia" w:hAnsi="Georgia"/>
          <w:sz w:val="24"/>
          <w:szCs w:val="24"/>
        </w:rPr>
        <w:t xml:space="preserve">The NWT inserts “other” (in brackets) four times: ‘all [other] things were created.’ The Greek (NA28) reads </w:t>
      </w:r>
      <w:r>
        <w:rPr>
          <w:rFonts w:ascii="Georgia" w:cs="Georgia" w:eastAsia="Georgia" w:hAnsi="Georgia"/>
          <w:i/>
          <w:iCs/>
          <w:sz w:val="24"/>
          <w:szCs w:val="24"/>
        </w:rPr>
        <w:t xml:space="preserve">ta panta di’ autou kai eis auton ektistai</w:t>
      </w:r>
      <w:r>
        <w:rPr>
          <w:rFonts w:ascii="Georgia" w:cs="Georgia" w:eastAsia="Georgia" w:hAnsi="Georgia"/>
          <w:sz w:val="24"/>
          <w:szCs w:val="24"/>
        </w:rPr>
        <w:t xml:space="preserve"> (‘all things were created through him and for him’) with no word for ‘other.’ The NWT’s rationale is that Christ, being a creature himself in JW theology, cannot have created himself, so ‘other’ is supplied to exclude him from ‘all things.’ This is a clear case of theological insertion: the Greek does not contain allos or heteros. While the brackets signal an addition, most readers treat bracketed words as clarifications, not as theological insertions. The parallel in 1 Corinthians 15:27–28, where Paul explicitly says ‘all things except the one who subjected them,’ shows that Paul was capable of adding exceptions when he meant them; his failure to do so in Colossians 1 is significant. </w:t>
      </w:r>
      <w:r>
        <w:rPr>
          <w:rFonts w:ascii="Georgia" w:cs="Georgia" w:eastAsia="Georgia" w:hAnsi="Georgia"/>
          <w:b/>
          <w:bCs/>
          <w:sz w:val="24"/>
          <w:szCs w:val="24"/>
        </w:rPr>
        <w:t xml:space="preserve">Relevance to exclusivity: moderate. </w:t>
      </w:r>
      <w:r>
        <w:rPr>
          <w:rFonts w:ascii="Georgia" w:cs="Georgia" w:eastAsia="Georgia" w:hAnsi="Georgia"/>
          <w:sz w:val="24"/>
          <w:szCs w:val="24"/>
        </w:rPr>
        <w:t xml:space="preserve">Like John 1:1, this supports the Christological underpinning of JW identity.</w:t>
      </w:r>
    </w:p>
    <w:p>
      <w:pPr>
        <w:pStyle w:val="Heading2"/>
        <w:spacing w:before="300" w:after="160"/>
      </w:pPr>
      <w:r>
        <w:rPr>
          <w:rFonts w:ascii="Georgia" w:cs="Georgia" w:eastAsia="Georgia" w:hAnsi="Georgia"/>
          <w:b/>
          <w:bCs/>
          <w:color w:val="2C3E50"/>
          <w:sz w:val="26"/>
          <w:szCs w:val="26"/>
        </w:rPr>
        <w:t xml:space="preserve">4.3. Use of “Jehovah” in the New Testament</w:t>
      </w:r>
    </w:p>
    <w:p>
      <w:pPr>
        <w:spacing w:after="180" w:line="312"/>
        <w:jc w:val="both"/>
      </w:pPr>
      <w:r>
        <w:rPr>
          <w:rFonts w:ascii="Georgia" w:cs="Georgia" w:eastAsia="Georgia" w:hAnsi="Georgia"/>
          <w:sz w:val="24"/>
          <w:szCs w:val="24"/>
        </w:rPr>
        <w:t xml:space="preserve">The NWT inserts “Jehovah” 237 times in the New Testament where no extant Greek manuscript reads YHWH or any equivalent. The NWT’s editors argue (New World Translation—With References, 1984, Appendix 1D) that the original text must have contained the divine name in Old Testament quotations and that scribes later replaced it with kyrios. As noted above, George Howard’s hypothesis provides some scholarly support for the idea that the Septuagint Vorlage behind some NT quotations may have preserved the divine name. However, the NWT goes far beyond Howard’s hypothesis: it inserts “Jehovah” not only in OT quotations but also in passages where kyrios appears to refer to Jesus, thus doctrinally distinguishing references to God from references to Christ in passages where the Greek is ambiguous. This practice has been criticized by Jason BeDuhn (Truth in Translation, University Press of America, 2003, pp. 169–173), who is otherwise sympathetic to several NWT choices, as going beyond the evidence. </w:t>
      </w:r>
      <w:r>
        <w:rPr>
          <w:rFonts w:ascii="Georgia" w:cs="Georgia" w:eastAsia="Georgia" w:hAnsi="Georgia"/>
          <w:b/>
          <w:bCs/>
          <w:sz w:val="24"/>
          <w:szCs w:val="24"/>
        </w:rPr>
        <w:t xml:space="preserve">Relevance to exclusivity: high. </w:t>
      </w:r>
      <w:r>
        <w:rPr>
          <w:rFonts w:ascii="Georgia" w:cs="Georgia" w:eastAsia="Georgia" w:hAnsi="Georgia"/>
          <w:sz w:val="24"/>
          <w:szCs w:val="24"/>
        </w:rPr>
        <w:t xml:space="preserve">The divine name is central to JW identity (‘Jehovah’s Witnesses’). The practice of restoring it in the NT reinforces the claim that only JWs properly honor God’s name and that mainstream Christianity has suppressed it.</w:t>
      </w:r>
    </w:p>
    <w:p>
      <w:pPr>
        <w:pStyle w:val="Heading2"/>
        <w:spacing w:before="300" w:after="160"/>
      </w:pPr>
      <w:r>
        <w:rPr>
          <w:rFonts w:ascii="Georgia" w:cs="Georgia" w:eastAsia="Georgia" w:hAnsi="Georgia"/>
          <w:b/>
          <w:bCs/>
          <w:color w:val="2C3E50"/>
          <w:sz w:val="26"/>
          <w:szCs w:val="26"/>
        </w:rPr>
        <w:t xml:space="preserve">4.4. Luke 23:43 — Punctuation and Paradise</w:t>
      </w:r>
    </w:p>
    <w:p>
      <w:pPr>
        <w:spacing w:after="180" w:line="312"/>
        <w:jc w:val="both"/>
      </w:pPr>
      <w:r>
        <w:rPr>
          <w:rFonts w:ascii="Georgia" w:cs="Georgia" w:eastAsia="Georgia" w:hAnsi="Georgia"/>
          <w:sz w:val="24"/>
          <w:szCs w:val="24"/>
        </w:rPr>
        <w:t xml:space="preserve">The Greek reads </w:t>
      </w:r>
      <w:r>
        <w:rPr>
          <w:rFonts w:ascii="Georgia" w:cs="Georgia" w:eastAsia="Georgia" w:hAnsi="Georgia"/>
          <w:i/>
          <w:iCs/>
          <w:sz w:val="24"/>
          <w:szCs w:val="24"/>
        </w:rPr>
        <w:t xml:space="preserve">amēn soi legō sēmeron met’ emou esēi en tōi paradeisōi</w:t>
      </w:r>
      <w:r>
        <w:rPr>
          <w:rFonts w:ascii="Georgia" w:cs="Georgia" w:eastAsia="Georgia" w:hAnsi="Georgia"/>
          <w:sz w:val="24"/>
          <w:szCs w:val="24"/>
        </w:rPr>
        <w:t xml:space="preserve">. The NWT places the comma after ‘today’: ‘I tell you today, you will be with me in Paradise.’ Mainstream translations place it before: ‘Today you will be with me in paradise.’ Since ancient Greek manuscripts had no punctuation, this is technically a punctuation issue, not a textual one. The NWT reading is grammatically possible but contextually unusual: the adverb sēmeron (‘today’) most naturally modifies the verb that follows it (esēi, ‘you will be’), not the verb that precedes it (legō, ’I say’). The phrase amēn legō soi (‘truly I say to you’) appears frequently in the Gospels, and ‘today’ is never otherwise appended to it as a temporal modifier of the saying itself. </w:t>
      </w:r>
      <w:r>
        <w:rPr>
          <w:rFonts w:ascii="Georgia" w:cs="Georgia" w:eastAsia="Georgia" w:hAnsi="Georgia"/>
          <w:b/>
          <w:bCs/>
          <w:sz w:val="24"/>
          <w:szCs w:val="24"/>
        </w:rPr>
        <w:t xml:space="preserve">Relevance to exclusivity: low to moderate. </w:t>
      </w:r>
      <w:r>
        <w:rPr>
          <w:rFonts w:ascii="Georgia" w:cs="Georgia" w:eastAsia="Georgia" w:hAnsi="Georgia"/>
          <w:sz w:val="24"/>
          <w:szCs w:val="24"/>
        </w:rPr>
        <w:t xml:space="preserve">This supports the JW rejection of an immortal soul that goes immediately to heaven, which is part of the broader rejection of mainstream Christian eschatology.</w:t>
      </w:r>
    </w:p>
    <w:p>
      <w:pPr>
        <w:pStyle w:val="Heading2"/>
        <w:spacing w:before="300" w:after="160"/>
      </w:pPr>
      <w:r>
        <w:rPr>
          <w:rFonts w:ascii="Georgia" w:cs="Georgia" w:eastAsia="Georgia" w:hAnsi="Georgia"/>
          <w:b/>
          <w:bCs/>
          <w:color w:val="2C3E50"/>
          <w:sz w:val="26"/>
          <w:szCs w:val="26"/>
        </w:rPr>
        <w:t xml:space="preserve">4.5. Titus 2:13 and Acts 20:28 — Christological Ambiguities</w:t>
      </w:r>
    </w:p>
    <w:p>
      <w:pPr>
        <w:spacing w:after="180" w:line="312"/>
        <w:jc w:val="both"/>
      </w:pPr>
      <w:r>
        <w:rPr>
          <w:rFonts w:ascii="Georgia" w:cs="Georgia" w:eastAsia="Georgia" w:hAnsi="Georgia"/>
          <w:sz w:val="24"/>
          <w:szCs w:val="24"/>
        </w:rPr>
        <w:t xml:space="preserve">Titus 2:13 contains the Granville Sharp construction: </w:t>
      </w:r>
      <w:r>
        <w:rPr>
          <w:rFonts w:ascii="Georgia" w:cs="Georgia" w:eastAsia="Georgia" w:hAnsi="Georgia"/>
          <w:i/>
          <w:iCs/>
          <w:sz w:val="24"/>
          <w:szCs w:val="24"/>
        </w:rPr>
        <w:t xml:space="preserve">tou megalou theou kai sōtēros hēmōn Iēsou Christou</w:t>
      </w:r>
      <w:r>
        <w:rPr>
          <w:rFonts w:ascii="Georgia" w:cs="Georgia" w:eastAsia="Georgia" w:hAnsi="Georgia"/>
          <w:sz w:val="24"/>
          <w:szCs w:val="24"/>
        </w:rPr>
        <w:t xml:space="preserve">. The Granville Sharp rule (as formalized by Daniel Wallace, Granville Sharp’s Canon and its Kin, Peter Lang, 2009) suggests both nouns refer to the same person: Jesus Christ is ‘our great God and Savior.’ The NWT renders it as referring to two persons: ‘the great God and of our Savior, Jesus Christ.’ The NWT rendering is grammatically strained but not impossible; however, the Sharp construction is well-attested and the NWT’s reading goes against the dominant pattern. Acts 20:28 similarly involves a textual variant: some manuscripts read ‘the church of God, which he obtained with his own blood,’ while others read ‘the church of the Lord.’ The NWT follows ‘the Lord,’ which avoids the implication that God has blood. The manuscript evidence (NA28 reads theou) favors ‘God,’ making the NWT’s choice a textual criticism issue as well as a theological one. </w:t>
      </w:r>
      <w:r>
        <w:rPr>
          <w:rFonts w:ascii="Georgia" w:cs="Georgia" w:eastAsia="Georgia" w:hAnsi="Georgia"/>
          <w:b/>
          <w:bCs/>
          <w:sz w:val="24"/>
          <w:szCs w:val="24"/>
        </w:rPr>
        <w:t xml:space="preserve">Relevance to exclusivity: moderate. </w:t>
      </w:r>
      <w:r>
        <w:rPr>
          <w:rFonts w:ascii="Georgia" w:cs="Georgia" w:eastAsia="Georgia" w:hAnsi="Georgia"/>
          <w:sz w:val="24"/>
          <w:szCs w:val="24"/>
        </w:rPr>
        <w:t xml:space="preserve">These are Christological rather than directly about exclusivity, but they reinforce the JW claim that Trinitarianism is a corruption.</w:t>
      </w:r>
    </w:p>
    <w:p>
      <w:pPr>
        <w:pStyle w:val="Heading2"/>
        <w:spacing w:before="300" w:after="160"/>
      </w:pPr>
      <w:r>
        <w:rPr>
          <w:rFonts w:ascii="Georgia" w:cs="Georgia" w:eastAsia="Georgia" w:hAnsi="Georgia"/>
          <w:b/>
          <w:bCs/>
          <w:color w:val="2C3E50"/>
          <w:sz w:val="26"/>
          <w:szCs w:val="26"/>
        </w:rPr>
        <w:t xml:space="preserve">4.6. Cross vs. Torture Stake (stauros)</w:t>
      </w:r>
    </w:p>
    <w:p>
      <w:pPr>
        <w:spacing w:after="180" w:line="312"/>
        <w:jc w:val="both"/>
      </w:pPr>
      <w:r>
        <w:rPr>
          <w:rFonts w:ascii="Georgia" w:cs="Georgia" w:eastAsia="Georgia" w:hAnsi="Georgia"/>
          <w:sz w:val="24"/>
          <w:szCs w:val="24"/>
        </w:rPr>
        <w:t xml:space="preserve">The Greek stauros can mean ‘upright stake’ or ‘cross’ (in the sense of a stake with a crossbeam). The NWT renders it ‘torture stake’ consistently. Lexically, the JWs have a point: the pre-Roman meaning of stauros was indeed an upright pole. However, by the first century CE, Roman crucifixion typically involved a crossbeam (patibulum), as attested by Seneca (Dialogue 6 [De Consolatione ad Marciam] 20.3), Josephus, and archaeological evidence (the Yehohanan ossuary, studied by Vassilios Tzaferis, “Jewish Tombs at and near Giv’at ha-Mivtar,” Israel Exploration Journal 20, 1970). </w:t>
      </w:r>
      <w:r>
        <w:rPr>
          <w:rFonts w:ascii="Georgia" w:cs="Georgia" w:eastAsia="Georgia" w:hAnsi="Georgia"/>
          <w:b/>
          <w:bCs/>
          <w:sz w:val="24"/>
          <w:szCs w:val="24"/>
        </w:rPr>
        <w:t xml:space="preserve">Relevance to exclusivity: low but symbolically important. </w:t>
      </w:r>
      <w:r>
        <w:rPr>
          <w:rFonts w:ascii="Georgia" w:cs="Georgia" w:eastAsia="Georgia" w:hAnsi="Georgia"/>
          <w:sz w:val="24"/>
          <w:szCs w:val="24"/>
        </w:rPr>
        <w:t xml:space="preserve">The rejection of the cross as a pagan symbol reinforces JW separatism from mainstream Christianity.</w:t>
      </w:r>
    </w:p>
    <w:p>
      <w:r>
        <w:br w:type="page"/>
      </w:r>
    </w:p>
    <w:p>
      <w:pPr>
        <w:pStyle w:val="Heading1"/>
        <w:spacing w:before="360" w:after="200"/>
      </w:pPr>
      <w:r>
        <w:rPr>
          <w:rFonts w:ascii="Georgia" w:cs="Georgia" w:eastAsia="Georgia" w:hAnsi="Georgia"/>
          <w:b/>
          <w:bCs/>
          <w:color w:val="1A1A2E"/>
          <w:sz w:val="30"/>
          <w:szCs w:val="30"/>
        </w:rPr>
        <w:t xml:space="preserve">5. Does JW Exclusivity Rest on Translation, Interpretation, or Institutional Theology?</w:t>
      </w:r>
    </w:p>
    <w:p>
      <w:pPr>
        <w:spacing w:after="180" w:line="312"/>
        <w:jc w:val="both"/>
      </w:pPr>
      <w:r>
        <w:rPr>
          <w:rFonts w:ascii="Georgia" w:cs="Georgia" w:eastAsia="Georgia" w:hAnsi="Georgia"/>
          <w:sz w:val="24"/>
          <w:szCs w:val="24"/>
        </w:rPr>
        <w:t xml:space="preserve">The analysis above reveals a consistent pattern. In virtually none of the major exclusivity-relevant passages does the NWT’s translation itself create the distinctive JW reading. Where the NWT does depart from mainstream renderings (John 1:1c, Colossians 1:15–17, insertion of “Jehovah” in the NT), the departures concern Christology and the divine name rather than exclusivity directly. The two-class system (144,000 vs. great crowd), the identification of the “faithful and discreet slave” with the Governing Body, and the mandate to separate from “false religion” are all built on interpretation and institutional theology imposed on accurately translated texts.</w:t>
      </w:r>
    </w:p>
    <w:p>
      <w:pPr>
        <w:spacing w:after="180" w:line="312"/>
        <w:jc w:val="both"/>
      </w:pPr>
      <w:r>
        <w:rPr>
          <w:rFonts w:ascii="Georgia" w:cs="Georgia" w:eastAsia="Georgia" w:hAnsi="Georgia"/>
          <w:sz w:val="24"/>
          <w:szCs w:val="24"/>
        </w:rPr>
        <w:t xml:space="preserve">This does not mean the interpretations are necessarily wrong—every religious community interprets its scriptures through a doctrinal lens. But it does mean that the claim ‘we just follow what the Bible says’ is misleading if it implies that the distinctive JW conclusions are self-evident from the text. They are not. They require a complex hermeneutical framework: typological reading of the parable in Matthew 24, intertextual harmonization of Revelation 7 with John 10, a dispensationalist-style periodization of church history, and the organizational claim that one specific group was selected by Christ in 1919.</w:t>
      </w:r>
    </w:p>
    <w:p>
      <w:pPr>
        <w:spacing w:after="180" w:line="312"/>
        <w:jc w:val="both"/>
      </w:pPr>
      <w:r>
        <w:rPr>
          <w:rFonts w:ascii="Georgia" w:cs="Georgia" w:eastAsia="Georgia" w:hAnsi="Georgia"/>
          <w:sz w:val="24"/>
          <w:szCs w:val="24"/>
        </w:rPr>
        <w:t xml:space="preserve">It is equally important to acknowledge that mainstream Christianity also reads its organizational and doctrinal structures back into the text. The Nicene Creed is not a straightforward quotation of the New Testament; it represents a fourth-century synthesis. The idea of a visible church hierarchy with apostolic succession is likewise a construction built over the text, not a plain reading of it. The difference is that mainstream Christianity generally acknowledges a role for tradition and theological development, whereas JW theology claims to derive solely from Scripture. This makes the gap between text and doctrine more visible in the JW case, not because the gap is necessarily larger, but because the claimed methodology leaves less room for it.</w:t>
      </w:r>
    </w:p>
    <w:p>
      <w:pPr>
        <w:spacing w:after="180" w:line="312"/>
        <w:jc w:val="both"/>
      </w:pPr>
      <w:r>
        <w:rPr>
          <w:rFonts w:ascii="Georgia" w:cs="Georgia" w:eastAsia="Georgia" w:hAnsi="Georgia"/>
          <w:sz w:val="24"/>
          <w:szCs w:val="24"/>
        </w:rPr>
        <w:t xml:space="preserve">A further consideration: Jason BeDuhn (Truth in Translation, 2003), a non-JW scholar of religious studies, evaluated the NWT favorably on several counts, finding it less influenced by theological bias than many mainstream translations in passages like John 1:1 and Philippians 2:6. BeDuhn’s work, while contested (see the response by Robert Bowman, “What Jason BeDuhn Really Says About the NWT,” IRR, 2004), illustrates that the question of translational neutrality does not resolve simply into ‘NWT biased, mainstream neutral.’ Both sides translate with presuppositions; the question is which presuppositions the Greek text and historical context better support.</w:t>
      </w:r>
    </w:p>
    <w:p>
      <w:r>
        <w:br w:type="page"/>
      </w:r>
    </w:p>
    <w:p>
      <w:pPr>
        <w:pStyle w:val="Heading1"/>
        <w:spacing w:before="360" w:after="200"/>
      </w:pPr>
      <w:r>
        <w:rPr>
          <w:rFonts w:ascii="Georgia" w:cs="Georgia" w:eastAsia="Georgia" w:hAnsi="Georgia"/>
          <w:b/>
          <w:bCs/>
          <w:color w:val="1A1A2E"/>
          <w:sz w:val="30"/>
          <w:szCs w:val="30"/>
        </w:rPr>
        <w:t xml:space="preserve">6. Conclusion</w:t>
      </w:r>
    </w:p>
    <w:p>
      <w:pPr>
        <w:spacing w:after="180" w:line="312"/>
        <w:jc w:val="both"/>
      </w:pPr>
      <w:r>
        <w:rPr>
          <w:rFonts w:ascii="Georgia" w:cs="Georgia" w:eastAsia="Georgia" w:hAnsi="Georgia"/>
          <w:sz w:val="24"/>
          <w:szCs w:val="24"/>
        </w:rPr>
        <w:t xml:space="preserve">Jehovah’s Witness exclusivity is not primarily a translation phenomenon. The NWT contains several tendentious choices, the most significant being the insertion of “Jehovah” in the New Testament and the indefinite “a god” in John 1:1c. But these choices serve Christological and name-theology functions, not the exclusivity claim directly. The pillars of exclusivity—the faithful-and-discreet-slave identification, the two-class system, and the mandate to separate from apostate religion—are built on interpretive moves that could be performed on any translation of the Bible. They are institutional theology presented as plain reading.</w:t>
      </w:r>
    </w:p>
    <w:p>
      <w:pPr>
        <w:spacing w:after="180" w:line="312"/>
        <w:jc w:val="both"/>
      </w:pPr>
      <w:r>
        <w:rPr>
          <w:rFonts w:ascii="Georgia" w:cs="Georgia" w:eastAsia="Georgia" w:hAnsi="Georgia"/>
          <w:sz w:val="24"/>
          <w:szCs w:val="24"/>
        </w:rPr>
        <w:t xml:space="preserve">A sincere Christian could reasonably be drawn to several JW starting points: the pre-Nicene diversity of Christology, the evidence for the divine name in early manuscripts, the historical corruption of institutional Christianity, and the biblical language of separation from false worship. These are real data points. But the jump from these data points to the conclusion that one specific modern organization is God’s sole channel requires a series of interpretive commitments—about the nature of parables, the identity of the “other sheep,” the literary structure of Revelation, the dating of Christ’s invisible return to 1914, and the inspection of churches in 1919—that the Greek text does not compel and that most biblical scholarship does not support.</w:t>
      </w:r>
    </w:p>
    <w:p>
      <w:pPr>
        <w:spacing w:after="180" w:line="312"/>
        <w:jc w:val="both"/>
      </w:pPr>
      <w:r>
        <w:rPr>
          <w:rFonts w:ascii="Georgia" w:cs="Georgia" w:eastAsia="Georgia" w:hAnsi="Georgia"/>
          <w:sz w:val="24"/>
          <w:szCs w:val="24"/>
        </w:rPr>
        <w:t xml:space="preserve">Mainstream Christianity is not exempt from critique. Its translations sometimes import Trinitarian assumptions (e.g., capitalizing ‘Spirit’ where the Greek is ambiguous, or applying the Granville Sharp rule more confidently than the evidence warrants). Its institutional claims about apostolic succession or creedal authority go beyond what the New Testament plainly states. But the scope and specificity of the JW institutional claim—that one organization, identifiable since 1919, is the sole conduit of divine truth—requires a more elaborate scaffolding of interpretation than the text can naturally bear.</w:t>
      </w:r>
    </w:p>
    <w:p>
      <w:pPr>
        <w:pStyle w:val="Heading1"/>
        <w:spacing w:before="360" w:after="200"/>
      </w:pPr>
      <w:r>
        <w:rPr>
          <w:rFonts w:ascii="Georgia" w:cs="Georgia" w:eastAsia="Georgia" w:hAnsi="Georgia"/>
          <w:b/>
          <w:bCs/>
          <w:color w:val="1A1A2E"/>
          <w:sz w:val="30"/>
          <w:szCs w:val="30"/>
        </w:rPr>
        <w:t xml:space="preserve">7. Ranked Verdict</w:t>
      </w:r>
    </w:p>
    <w:p>
      <w:pPr>
        <w:pStyle w:val="Heading3"/>
        <w:spacing w:before="240" w:after="120"/>
      </w:pPr>
      <w:r>
        <w:rPr>
          <w:rFonts w:ascii="Georgia" w:cs="Georgia" w:eastAsia="Georgia" w:hAnsi="Georgia"/>
          <w:b/>
          <w:bCs/>
          <w:i/>
          <w:iCs/>
          <w:color w:val="34495E"/>
          <w:sz w:val="24"/>
          <w:szCs w:val="24"/>
        </w:rPr>
        <w:t xml:space="preserve">The three issues most central to JW exclusivity:</w:t>
      </w:r>
    </w:p>
    <w:p>
      <w:pPr>
        <w:spacing w:after="180" w:line="312"/>
        <w:jc w:val="both"/>
      </w:pPr>
      <w:r>
        <w:rPr>
          <w:rFonts w:ascii="Georgia" w:cs="Georgia" w:eastAsia="Georgia" w:hAnsi="Georgia"/>
          <w:sz w:val="24"/>
          <w:szCs w:val="24"/>
        </w:rPr>
        <w:t xml:space="preserve">(1) The identification of the “faithful and discreet slave” with the Governing Body (Matthew 24:45–47). (2) The two-class system of 144,000/great crowd (Revelation 7; John 10:16). (3) The use of the divine name as an identity marker and the claim that mainstream Christianity suppressed it.</w:t>
      </w:r>
    </w:p>
    <w:p>
      <w:pPr>
        <w:pStyle w:val="Heading3"/>
        <w:spacing w:before="240" w:after="120"/>
      </w:pPr>
      <w:r>
        <w:rPr>
          <w:rFonts w:ascii="Georgia" w:cs="Georgia" w:eastAsia="Georgia" w:hAnsi="Georgia"/>
          <w:b/>
          <w:bCs/>
          <w:i/>
          <w:iCs/>
          <w:color w:val="34495E"/>
          <w:sz w:val="24"/>
          <w:szCs w:val="24"/>
        </w:rPr>
        <w:t xml:space="preserve">Which involve real Greek translation disputes?</w:t>
      </w:r>
    </w:p>
    <w:p>
      <w:pPr>
        <w:spacing w:after="180" w:line="312"/>
        <w:jc w:val="both"/>
      </w:pPr>
      <w:r>
        <w:rPr>
          <w:rFonts w:ascii="Georgia" w:cs="Georgia" w:eastAsia="Georgia" w:hAnsi="Georgia"/>
          <w:sz w:val="24"/>
          <w:szCs w:val="24"/>
        </w:rPr>
        <w:t xml:space="preserve">Only the third—the insertion of “Jehovah” in the NT—involves a genuine text-and-translation dispute. The first two are interpretation issues overlaid on accurately translated text.</w:t>
      </w:r>
    </w:p>
    <w:p>
      <w:pPr>
        <w:pStyle w:val="Heading3"/>
        <w:spacing w:before="240" w:after="120"/>
      </w:pPr>
      <w:r>
        <w:rPr>
          <w:rFonts w:ascii="Georgia" w:cs="Georgia" w:eastAsia="Georgia" w:hAnsi="Georgia"/>
          <w:b/>
          <w:bCs/>
          <w:i/>
          <w:iCs/>
          <w:color w:val="34495E"/>
          <w:sz w:val="24"/>
          <w:szCs w:val="24"/>
        </w:rPr>
        <w:t xml:space="preserve">Which are mainly interpretive or institutional?</w:t>
      </w:r>
    </w:p>
    <w:p>
      <w:pPr>
        <w:spacing w:after="180" w:line="312"/>
        <w:jc w:val="both"/>
      </w:pPr>
      <w:r>
        <w:rPr>
          <w:rFonts w:ascii="Georgia" w:cs="Georgia" w:eastAsia="Georgia" w:hAnsi="Georgia"/>
          <w:sz w:val="24"/>
          <w:szCs w:val="24"/>
        </w:rPr>
        <w:t xml:space="preserve">The first two are almost entirely institutional. The ‘faithful slave’ identification and the two-class system are doctrinal constructions that do not arise from the Greek text by any standard exegetical method.</w:t>
      </w:r>
    </w:p>
    <w:p>
      <w:pPr>
        <w:pStyle w:val="Heading3"/>
        <w:spacing w:before="240" w:after="120"/>
      </w:pPr>
      <w:r>
        <w:rPr>
          <w:rFonts w:ascii="Georgia" w:cs="Georgia" w:eastAsia="Georgia" w:hAnsi="Georgia"/>
          <w:b/>
          <w:bCs/>
          <w:i/>
          <w:iCs/>
          <w:color w:val="34495E"/>
          <w:sz w:val="24"/>
          <w:szCs w:val="24"/>
        </w:rPr>
        <w:t xml:space="preserve">Where does the NWT appear closest to the Greek?</w:t>
      </w:r>
    </w:p>
    <w:p>
      <w:pPr>
        <w:spacing w:after="180" w:line="312"/>
        <w:jc w:val="both"/>
      </w:pPr>
      <w:r>
        <w:rPr>
          <w:rFonts w:ascii="Georgia" w:cs="Georgia" w:eastAsia="Georgia" w:hAnsi="Georgia"/>
          <w:sz w:val="24"/>
          <w:szCs w:val="24"/>
        </w:rPr>
        <w:t xml:space="preserve">In its rendering of Revelation 7:9–17, John 10:16, and most narrative passages, the NWT is an acceptable, sometimes excellent, translation. BeDuhn’s assessment that it is often less theologically driven than mainstream translations in certain passages has merit.</w:t>
      </w:r>
    </w:p>
    <w:p>
      <w:pPr>
        <w:pStyle w:val="Heading3"/>
        <w:spacing w:before="240" w:after="120"/>
      </w:pPr>
      <w:r>
        <w:rPr>
          <w:rFonts w:ascii="Georgia" w:cs="Georgia" w:eastAsia="Georgia" w:hAnsi="Georgia"/>
          <w:b/>
          <w:bCs/>
          <w:i/>
          <w:iCs/>
          <w:color w:val="34495E"/>
          <w:sz w:val="24"/>
          <w:szCs w:val="24"/>
        </w:rPr>
        <w:t xml:space="preserve">Where does the NWT appear most strained?</w:t>
      </w:r>
    </w:p>
    <w:p>
      <w:pPr>
        <w:spacing w:after="180" w:line="312"/>
        <w:jc w:val="both"/>
      </w:pPr>
      <w:r>
        <w:rPr>
          <w:rFonts w:ascii="Georgia" w:cs="Georgia" w:eastAsia="Georgia" w:hAnsi="Georgia"/>
          <w:sz w:val="24"/>
          <w:szCs w:val="24"/>
        </w:rPr>
        <w:t xml:space="preserve">In John 1:1c (“a god”), Colossians 1:15–17 (insertion of “other”), and the NT use of “Jehovah” (going beyond the manuscript evidence). The Titus 2:13 rendering is also strained against the Granville Sharp construction.</w:t>
      </w:r>
    </w:p>
    <w:p>
      <w:pPr>
        <w:pStyle w:val="Heading3"/>
        <w:spacing w:before="240" w:after="120"/>
      </w:pPr>
      <w:r>
        <w:rPr>
          <w:rFonts w:ascii="Georgia" w:cs="Georgia" w:eastAsia="Georgia" w:hAnsi="Georgia"/>
          <w:b/>
          <w:bCs/>
          <w:i/>
          <w:iCs/>
          <w:color w:val="34495E"/>
          <w:sz w:val="24"/>
          <w:szCs w:val="24"/>
        </w:rPr>
        <w:t xml:space="preserve">Where do mainstream translations lean beyond the Greek?</w:t>
      </w:r>
    </w:p>
    <w:p>
      <w:pPr>
        <w:spacing w:after="180" w:line="312"/>
        <w:jc w:val="both"/>
      </w:pPr>
      <w:r>
        <w:rPr>
          <w:rFonts w:ascii="Georgia" w:cs="Georgia" w:eastAsia="Georgia" w:hAnsi="Georgia"/>
          <w:sz w:val="24"/>
          <w:szCs w:val="24"/>
        </w:rPr>
        <w:t xml:space="preserve">In texts where kyrios is rendered “Lord” with a Trinitarian assumption about its referent, in the capitalization of “Spirit” when pneuma is ambiguous, and in the confident application of the Granville Sharp rule to Titus 2:13 and 2 Peter 1:1 where some ambiguity exists. Also, the substitution of kyrios for the Tetragrammaton in the Septuagint tradition, which became the basis for NT kyrios-language, reflects a translation choice that obscures the original referent.</w:t>
      </w:r>
    </w:p>
    <w:p>
      <w:pPr>
        <w:pStyle w:val="Heading3"/>
        <w:spacing w:before="240" w:after="120"/>
      </w:pPr>
      <w:r>
        <w:rPr>
          <w:rFonts w:ascii="Georgia" w:cs="Georgia" w:eastAsia="Georgia" w:hAnsi="Georgia"/>
          <w:b/>
          <w:bCs/>
          <w:i/>
          <w:iCs/>
          <w:color w:val="34495E"/>
          <w:sz w:val="24"/>
          <w:szCs w:val="24"/>
        </w:rPr>
        <w:t xml:space="preserve">If a sincere Christian became JW from Bible study, which arguments would most persuade?</w:t>
      </w:r>
    </w:p>
    <w:p>
      <w:pPr>
        <w:spacing w:after="180" w:line="312"/>
        <w:jc w:val="both"/>
      </w:pPr>
      <w:r>
        <w:rPr>
          <w:rFonts w:ascii="Georgia" w:cs="Georgia" w:eastAsia="Georgia" w:hAnsi="Georgia"/>
          <w:sz w:val="24"/>
          <w:szCs w:val="24"/>
        </w:rPr>
        <w:t xml:space="preserve">The divine name argument and the pre-Nicene Christological diversity would likely be most persuasive, because they have real manuscript and historical support. The corruption-of-Christendom narrative, supported by genuine historical data about the Constantinian settlement, would provide emotional and intellectual momentum.</w:t>
      </w:r>
    </w:p>
    <w:p>
      <w:pPr>
        <w:pStyle w:val="Heading3"/>
        <w:spacing w:before="240" w:after="120"/>
      </w:pPr>
      <w:r>
        <w:rPr>
          <w:rFonts w:ascii="Georgia" w:cs="Georgia" w:eastAsia="Georgia" w:hAnsi="Georgia"/>
          <w:b/>
          <w:bCs/>
          <w:i/>
          <w:iCs/>
          <w:color w:val="34495E"/>
          <w:sz w:val="24"/>
          <w:szCs w:val="24"/>
        </w:rPr>
        <w:t xml:space="preserve">Which would be least defensible under close analysis?</w:t>
      </w:r>
    </w:p>
    <w:p>
      <w:pPr>
        <w:spacing w:after="180" w:line="312"/>
        <w:jc w:val="both"/>
      </w:pPr>
      <w:r>
        <w:rPr>
          <w:rFonts w:ascii="Georgia" w:cs="Georgia" w:eastAsia="Georgia" w:hAnsi="Georgia"/>
          <w:sz w:val="24"/>
          <w:szCs w:val="24"/>
        </w:rPr>
        <w:t xml:space="preserve">The identification of the “faithful and discreet slave” with the Governing Body is the least defensible under Greek and historical analysis. It reads a parable as a prophetic appointment, identifies that appointment with a specific modern institution, and dates it to 1919—none of which has any basis in the text, the grammar, the literary context, or the historical setting. The two-class system, while more theologically developed, is also poorly supported: it requires reading the 144,000 and the great crowd as permanently separate groups against the literary evidence of Revelation itself.</w:t>
      </w:r>
    </w:p>
    <w:p>
      <w:pPr>
        <w:spacing w:before="400"/>
      </w:pPr>
    </w:p>
    <w:p>
      <w:pPr>
        <w:pBdr>
          <w:bottom w:val="single" w:color="CCCCCC" w:sz="6" w:space="1"/>
        </w:pBdr>
        <w:spacing w:after="100"/>
      </w:pPr>
    </w:p>
    <w:p>
      <w:pPr>
        <w:spacing w:before="200"/>
        <w:jc w:val="center"/>
      </w:pPr>
      <w:r>
        <w:rPr>
          <w:rFonts w:ascii="Georgia" w:cs="Georgia" w:eastAsia="Georgia" w:hAnsi="Georgia"/>
          <w:i/>
          <w:iCs/>
          <w:color w:val="999999"/>
          <w:sz w:val="20"/>
          <w:szCs w:val="20"/>
        </w:rPr>
        <w:t xml:space="preserve">End of Research Essay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8"/>
        <w:szCs w:val="18"/>
      </w:rPr>
      <w:t xml:space="preserve">Page </w:t>
    </w:r>
    <w:r>
      <w:rPr>
        <w:rFonts w:ascii="Georgia" w:cs="Georgia" w:eastAsia="Georgia" w:hAnsi="Georgia"/>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AAAAAA"/>
        <w:sz w:val="18"/>
        <w:szCs w:val="18"/>
      </w:rPr>
      <w:t xml:space="preserve">Exclusivity and Exegesis • Research Essay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0"/>
      <w:szCs w:val="30"/>
    </w:rPr>
  </w:style>
  <w:style w:type="paragraph" w:styleId="Heading2">
    <w:name w:val="Heading 2"/>
    <w:basedOn w:val="Normal"/>
    <w:next w:val="Normal"/>
    <w:qFormat/>
    <w:pPr>
      <w:spacing w:before="300" w:after="160"/>
      <w:outlineLvl w:val="1"/>
    </w:pPr>
    <w:rPr>
      <w:rFonts w:ascii="Georgia" w:cs="Georgia" w:eastAsia="Georgia" w:hAnsi="Georgia"/>
      <w:b/>
      <w:bCs/>
      <w:color w:val="2C3E50"/>
      <w:sz w:val="26"/>
      <w:szCs w:val="26"/>
    </w:rPr>
  </w:style>
  <w:style w:type="paragraph" w:styleId="Heading3">
    <w:name w:val="Heading 3"/>
    <w:basedOn w:val="Normal"/>
    <w:next w:val="Normal"/>
    <w:qFormat/>
    <w:pPr>
      <w:spacing w:before="240" w:after="120"/>
      <w:outlineLvl w:val="2"/>
    </w:pPr>
    <w:rPr>
      <w:rFonts w:ascii="Georgia" w:cs="Georgia" w:eastAsia="Georgia" w:hAnsi="Georgia"/>
      <w:b/>
      <w:bCs/>
      <w:i/>
      <w:i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2026-03-29T22:31:20.502Z</dcterms:created>
  <dcterms:modified xsi:type="dcterms:W3CDTF">2026-03-29T22:31:20.503Z</dcterms:modified>
</cp:coreProperties>
</file>

<file path=docProps/custom.xml><?xml version="1.0" encoding="utf-8"?>
<Properties xmlns="http://schemas.openxmlformats.org/officeDocument/2006/custom-properties" xmlns:vt="http://schemas.openxmlformats.org/officeDocument/2006/docPropsVTypes"/>
</file>