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1a1a2e"/>
          <w:sz w:val="52"/>
          <w:szCs w:val="52"/>
        </w:rPr>
        <w:t xml:space="preserve">The Final Week</w:t>
      </w:r>
    </w:p>
    <w:p>
      <w:pPr>
        <w:spacing w:after="120"/>
        <w:jc w:val="center"/>
      </w:pPr>
      <w:r>
        <w:rPr>
          <w:rFonts w:ascii="Georgia" w:cs="Georgia" w:eastAsia="Georgia" w:hAnsi="Georgia"/>
          <w:i/>
          <w:iCs/>
          <w:color w:val="4a4e69"/>
          <w:sz w:val="28"/>
          <w:szCs w:val="28"/>
        </w:rPr>
        <w:t xml:space="preserve">Ritual, Symbol, and the Death of a Messiah</w:t>
      </w:r>
    </w:p>
    <w:p>
      <w:pPr>
        <w:spacing w:after="480"/>
        <w:jc w:val="center"/>
      </w:pPr>
      <w:r>
        <w:rPr>
          <w:rFonts w:ascii="Georgia" w:cs="Georgia" w:eastAsia="Georgia" w:hAnsi="Georgia"/>
          <w:color w:val="777777"/>
          <w:sz w:val="22"/>
          <w:szCs w:val="22"/>
        </w:rPr>
        <w:t xml:space="preserve">A Historical and Literary Analysis of Holy Week</w:t>
      </w:r>
    </w:p>
    <w:p>
      <w:pPr>
        <w:spacing w:after="160"/>
        <w:jc w:val="both"/>
      </w:pPr>
      <w:r>
        <w:rPr>
          <w:rFonts w:ascii="Georgia" w:cs="Georgia" w:eastAsia="Georgia" w:hAnsi="Georgia"/>
          <w:sz w:val="24"/>
          <w:szCs w:val="24"/>
        </w:rPr>
        <w:t xml:space="preserve">The week that Christianity calls Holy Week is one of the most densely layered sequences of events in the ancient world — operating simultaneously as Jewish eschatology, Greco-Roman literary spectacle, political provocation, and personal tragedy. To read it historically is to watch a man who knew exactly what he was doing move deliberately toward a death he had almost certainly anticipated, using the symbolic grammar of his tradition to say things that words alone could not carry. What follows traces that week day by day, beginning on the Saturday evening before Palm Sunday in the village of Bethany.</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Saturday Evening: Bethany and the Anointing</w:t>
      </w:r>
    </w:p>
    <w:p>
      <w:pPr>
        <w:spacing w:after="160"/>
        <w:jc w:val="both"/>
      </w:pPr>
      <w:r>
        <w:rPr>
          <w:rFonts w:ascii="Georgia" w:cs="Georgia" w:eastAsia="Georgia" w:hAnsi="Georgia"/>
          <w:sz w:val="24"/>
          <w:szCs w:val="24"/>
        </w:rPr>
        <w:t xml:space="preserve">The story does not begin in Jerusalem. It begins two miles east of the city, in Bethany, at a dinner table. John's Gospel places this scene six days before Passover: Martha serves, Lazarus reclines at table — the same Lazarus Jesus had raised from the dead — and Mary takes a pound of expensive spikenard perfume and anoints Jesus's feet, wiping them with her hair (John 12:1–8). The house fills with the smell of it. Judas Iscariot objects to the waste. Jesus silences him.</w:t>
      </w:r>
    </w:p>
    <w:p>
      <w:pPr>
        <w:spacing w:after="160"/>
        <w:jc w:val="both"/>
      </w:pPr>
      <w:r>
        <w:rPr>
          <w:rFonts w:ascii="Georgia" w:cs="Georgia" w:eastAsia="Georgia" w:hAnsi="Georgia"/>
          <w:sz w:val="24"/>
          <w:szCs w:val="24"/>
        </w:rPr>
        <w:t xml:space="preserve">The act Mary is performing has roots older than Christianity. In Second Temple Judaism, the anointing of a body before burial — part of the purification ritual known as tahara — was a sacred duty performed primarily by women. The use of expensive aromatic oil honored the dead while serving the practical purpose of preserving the body. What makes Mary's gesture extraordinary is that she performs it on a living man. Jesus interprets it accordingly: she has anointed his body in preparation for burial (Mark 14:8). This is not a retroactive interpretation by the Gospel writers. It is Jesus himself receiving her act as a true recognition of where the story is headed.</w:t>
      </w:r>
    </w:p>
    <w:p>
      <w:pPr>
        <w:spacing w:after="160"/>
        <w:jc w:val="both"/>
      </w:pPr>
      <w:r>
        <w:rPr>
          <w:rFonts w:ascii="Georgia" w:cs="Georgia" w:eastAsia="Georgia" w:hAnsi="Georgia"/>
          <w:sz w:val="24"/>
          <w:szCs w:val="24"/>
        </w:rPr>
        <w:t xml:space="preserve">The Greek literary tradition would have recognized the scene through a different but equally powerful lens. Medea, in Apollonius Rhodius's Argonautica (3.844–869), anoints Jason with a Promethean drug before his ordeal — making him capable of passing through what should kill him. The structural parallel is precise: a woman associated with pharmacological knowledge prepares the hero's body as direct preparation for his death-ordeal. A Greek-educated reader in the 1st or 2nd century CE would have felt this template immediately. The Hebrew name Yeshua and the Greek name Iason inhabit the same semantic field — the healer, the one who saves — a documented equivalence visible in 2 Maccabees 4:7, where the Jewish high priest Joshua takes the Greek name Jason as its functional equivalent.</w:t>
      </w:r>
    </w:p>
    <w:p>
      <w:pPr>
        <w:spacing w:after="160"/>
        <w:jc w:val="both"/>
      </w:pPr>
      <w:r>
        <w:rPr>
          <w:rFonts w:ascii="Georgia" w:cs="Georgia" w:eastAsia="Georgia" w:hAnsi="Georgia"/>
          <w:sz w:val="24"/>
          <w:szCs w:val="24"/>
        </w:rPr>
        <w:t xml:space="preserve">Mary's use of her hair compounds the symbolism. In the ancient world, a woman's unbound hair in public was considered immodest. To let it down and use it as a cloth was an act of total self-abandonment — the offering of her own honor as a vessel for someone else's. In the Hebrew tradition, unbound hair carried resonances of the Nazirite vow, in which the hair is the physical substance of total consecration (Numbers 6). She is giving what is most sacred about her own person. The tradition would remember her for it: Jesus says as much explicitly (Mark 14:9).</w:t>
      </w:r>
    </w:p>
    <w:p>
      <w:pPr>
        <w:spacing w:after="200"/>
        <w:ind w:left="720"/>
        <w:jc w:val="both"/>
      </w:pPr>
      <w:r>
        <w:rPr>
          <w:rFonts w:ascii="Georgia" w:cs="Georgia" w:eastAsia="Georgia" w:hAnsi="Georgia"/>
          <w:i/>
          <w:iCs/>
          <w:color w:val="555555"/>
          <w:sz w:val="20"/>
          <w:szCs w:val="20"/>
        </w:rPr>
        <w:t xml:space="preserve">"She has done what she could; she has anointed my body beforehand for burial." — Mark 14:8</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Palm Sunday: The Staged Entry</w:t>
      </w:r>
    </w:p>
    <w:p>
      <w:pPr>
        <w:spacing w:after="160"/>
        <w:jc w:val="both"/>
      </w:pPr>
      <w:r>
        <w:rPr>
          <w:rFonts w:ascii="Georgia" w:cs="Georgia" w:eastAsia="Georgia" w:hAnsi="Georgia"/>
          <w:sz w:val="24"/>
          <w:szCs w:val="24"/>
        </w:rPr>
        <w:t xml:space="preserve">The following morning Jesus leaves Bethany and moves west, crossing the ridge of the Mount of Olives toward Jerusalem. Near Bethphage he sends two disciples ahead with precise instructions: find a colt tied there, untie it, and if anyone asks, say the Lord has need of it (Mark 11:1–3). The specificity is telling. This is a pre-arranged signal — someone in that village was expecting the request. Jesus does not stumble into a symbol. He arranges one.</w:t>
      </w:r>
    </w:p>
    <w:p>
      <w:pPr>
        <w:spacing w:after="160"/>
        <w:jc w:val="both"/>
      </w:pPr>
      <w:r>
        <w:rPr>
          <w:rFonts w:ascii="Georgia" w:cs="Georgia" w:eastAsia="Georgia" w:hAnsi="Georgia"/>
          <w:sz w:val="24"/>
          <w:szCs w:val="24"/>
        </w:rPr>
        <w:t xml:space="preserve">The symbol he chooses is drawn from Zechariah 9:9: the king of Zion coming humble and mounted on a donkey, on a colt the foal of a donkey. For any Jew shaped by the scriptures, this would not have read as incidental. It would have felt like a claim — precise, deliberate, and dangerous. What is less often noted is the verse immediately following: Zechariah 9:10 describes this king cutting off the chariot and the war horse, speaking peace to the nations, ruling from sea to sea. The donkey was not merely a symbol of humility. It was a symbol of a kingship that transcended military power — a direct counter-image to both the Maccabean warrior-Messiah and the Roman emperor's warhorse.</w:t>
      </w:r>
    </w:p>
    <w:p>
      <w:pPr>
        <w:spacing w:after="160"/>
        <w:jc w:val="both"/>
      </w:pPr>
      <w:r>
        <w:rPr>
          <w:rFonts w:ascii="Georgia" w:cs="Georgia" w:eastAsia="Georgia" w:hAnsi="Georgia"/>
          <w:sz w:val="24"/>
          <w:szCs w:val="24"/>
        </w:rPr>
        <w:t xml:space="preserve">The crowd that greets him is drawn primarily from Galilean pilgrims who knew his ministry, supplemented by Jerusalem bystanders swept up in the atmosphere of Passover. Matthew 21:10 is revealing: when he enters the city, the population asks who this is — the question of people encountering someone by reputation rather than personal acquaintance. The acclamation Hosanna, drawn directly from Psalm 118:25 — one of the Hallel psalms sung by pilgrims arriving for Passover — was not a generic cheer. It was a liturgical cry meaning save us now, extracted from the Passover hymns and directed at a single figure on a borrowed animal.</w:t>
      </w:r>
    </w:p>
    <w:p>
      <w:pPr>
        <w:spacing w:after="160"/>
        <w:jc w:val="both"/>
      </w:pPr>
      <w:r>
        <w:rPr>
          <w:rFonts w:ascii="Georgia" w:cs="Georgia" w:eastAsia="Georgia" w:hAnsi="Georgia"/>
          <w:sz w:val="24"/>
          <w:szCs w:val="24"/>
        </w:rPr>
        <w:t xml:space="preserve">For a Greek reader in the 2nd through 4th centuries CE, the scene operated on additional registers simultaneously. The arrival of a divine or semi-divine figure from the east, received by common people while the established authorities plotted, resonated with the Dionysiac epiphany tradition — most fully articulated in Euripides's Bacchae, one of the most widely performed plays in the Hellenistic world. The palm branches carried by the crowd occupied the same structural position as the thyrsus in the Bacchic procession. The imperial parousia — the formal ceremony in which a city went out to meet the arriving emperor — provided another template the entry both invoked and subverted. Jesus's procession used the grammar of a royal arrival to announce a king whose power looked nothing like Rome's.</w:t>
      </w:r>
    </w:p>
    <w:p>
      <w:pPr>
        <w:spacing w:after="200"/>
        <w:ind w:left="720"/>
        <w:jc w:val="both"/>
      </w:pPr>
      <w:r>
        <w:rPr>
          <w:rFonts w:ascii="Georgia" w:cs="Georgia" w:eastAsia="Georgia" w:hAnsi="Georgia"/>
          <w:i/>
          <w:iCs/>
          <w:color w:val="555555"/>
          <w:sz w:val="20"/>
          <w:szCs w:val="20"/>
        </w:rPr>
        <w:t xml:space="preserve">"Blessed is he who comes in the name of the Lord! Blessed is the coming kingdom of our father David!" — Mark 11:9–10</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Sunday Evening: The Temple Survey</w:t>
      </w:r>
    </w:p>
    <w:p>
      <w:pPr>
        <w:spacing w:after="160"/>
        <w:jc w:val="both"/>
      </w:pPr>
      <w:r>
        <w:rPr>
          <w:rFonts w:ascii="Georgia" w:cs="Georgia" w:eastAsia="Georgia" w:hAnsi="Georgia"/>
          <w:sz w:val="24"/>
          <w:szCs w:val="24"/>
        </w:rPr>
        <w:t xml:space="preserve">He reaches the temple. Mark's account of what happens next is one of the most psychologically rich details in the passion narrative: he looked around at everything, and as it was already late, he went out to Bethany with the twelve (Mark 11:11). He surveys the temple — and leaves. No confrontation yet. Just observation, and withdrawal.</w:t>
      </w:r>
    </w:p>
    <w:p>
      <w:pPr>
        <w:spacing w:after="160"/>
        <w:jc w:val="both"/>
      </w:pPr>
      <w:r>
        <w:rPr>
          <w:rFonts w:ascii="Georgia" w:cs="Georgia" w:eastAsia="Georgia" w:hAnsi="Georgia"/>
          <w:sz w:val="24"/>
          <w:szCs w:val="24"/>
        </w:rPr>
        <w:t xml:space="preserve">This is not passivity. In the ancient world, a king entering his city would survey his domain — inspect the temple, assess the condition of the institution, take stock of his inheritance. The survey on Sunday and the cleansing on Monday is a deliberate two-beat structure. He looks. He sees. He returns the next day with intention. The prophet Malachi had anticipated exactly this moment: the Lord whom you seek will suddenly come to his temple (Malachi 3:1). Jesus's overnight retreat to Bethany — his threshold space, the place of resurrection and friendship — before the day of confrontation follows the tightening structure of Sophoclean tragedy, in which each scene closes off one escape route until the final collision becomes inevitable.</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Monday: The Temple Cleansing</w:t>
      </w:r>
    </w:p>
    <w:p>
      <w:pPr>
        <w:spacing w:after="160"/>
        <w:jc w:val="both"/>
      </w:pPr>
      <w:r>
        <w:rPr>
          <w:rFonts w:ascii="Georgia" w:cs="Georgia" w:eastAsia="Georgia" w:hAnsi="Georgia"/>
          <w:sz w:val="24"/>
          <w:szCs w:val="24"/>
        </w:rPr>
        <w:t xml:space="preserve">The following morning Jesus returns to Jerusalem and drives out those buying and selling in the temple, overturns the tables of the money changers and the seats of the dove sellers, and refuses to allow anyone to carry merchandise through the temple courts (Mark 11:15–17). He quotes Isaiah 57:7 and Jeremiah 7:11: my house shall be called a house of prayer for all nations, but you have made it a den of robbers.</w:t>
      </w:r>
    </w:p>
    <w:p>
      <w:pPr>
        <w:spacing w:after="160"/>
        <w:jc w:val="both"/>
      </w:pPr>
      <w:r>
        <w:rPr>
          <w:rFonts w:ascii="Georgia" w:cs="Georgia" w:eastAsia="Georgia" w:hAnsi="Georgia"/>
          <w:sz w:val="24"/>
          <w:szCs w:val="24"/>
        </w:rPr>
        <w:t xml:space="preserve">The cleansing is a kingly act of purification — the king setting his house in order — and a prophetic sign-act in the tradition of Jeremiah smashing the clay jar. It is also a direct provocation of the temple establishment. The money changers and dove sellers were not operating outside the system. They were the system — providing the exchange of currency and the sale of sacrificial animals that the sacrificial economy required. To overturn their tables was to attack not a corruption of the temple's function but the temple's function itself. The chief priests and scribes hear it that way. They begin looking for a way to destroy him (Mark 11:18).</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Tuesday and Wednesday: Debates and the Approaching Shadow</w:t>
      </w:r>
    </w:p>
    <w:p>
      <w:pPr>
        <w:spacing w:after="160"/>
        <w:jc w:val="both"/>
      </w:pPr>
      <w:r>
        <w:rPr>
          <w:rFonts w:ascii="Georgia" w:cs="Georgia" w:eastAsia="Georgia" w:hAnsi="Georgia"/>
          <w:sz w:val="24"/>
          <w:szCs w:val="24"/>
        </w:rPr>
        <w:t xml:space="preserve">The middle days of the week are occupied with a series of public confrontations in the temple precincts — debates with Pharisees over taxes to Caesar (Mark 12:13–17), with Sadducees over resurrection (Mark 12:18–27), with scribes over the greatest commandment (Mark 12:28–34). Each exchange is a tightening of the noose. Each group that comes to trap him leaves either silenced or more determined. The debates are not academic. They are political, and everyone in the temple courts understands that.</w:t>
      </w:r>
    </w:p>
    <w:p>
      <w:pPr>
        <w:spacing w:after="160"/>
        <w:jc w:val="both"/>
      </w:pPr>
      <w:r>
        <w:rPr>
          <w:rFonts w:ascii="Georgia" w:cs="Georgia" w:eastAsia="Georgia" w:hAnsi="Georgia"/>
          <w:sz w:val="24"/>
          <w:szCs w:val="24"/>
        </w:rPr>
        <w:t xml:space="preserve">Somewhere in these days — Mark places it after the temple cleansing, Matthew and Luke similarly — Judas Iscariot goes to the chief priests and offers to hand Jesus over. They promise him money (Mark 14:10–11). The betrayal from within the inner circle is one of the oldest tragic structures in human literature, present in the Argonautic tradition in the internal disputes among the Argonauts and Medea's betrayal of her own family. In the Gospel it is starker: one of the twelve, chosen and trusted, becomes the mechanism of the arrest.</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Thursday: The Last Supper and Gethsemane</w:t>
      </w:r>
    </w:p>
    <w:p>
      <w:pPr>
        <w:spacing w:after="160"/>
        <w:jc w:val="both"/>
      </w:pPr>
      <w:r>
        <w:rPr>
          <w:rFonts w:ascii="Georgia" w:cs="Georgia" w:eastAsia="Georgia" w:hAnsi="Georgia"/>
          <w:sz w:val="24"/>
          <w:szCs w:val="24"/>
        </w:rPr>
        <w:t xml:space="preserve">On the Thursday evening Jesus sends two disciples into the city to prepare the Passover meal, again with what appears to be a pre-arranged sign: look for a man carrying a jar of water, follow him (Mark 14:13). The meal that follows is the Last Supper — a Passover seder reframed around Jesus's own body and blood, the bread broken and distributed as his flesh, the wine poured as his blood of the covenant (Mark 14:22–24). The twelve are present. Jesus states plainly that one of them will betray him. He identifies Judas, at least obliquely, in John's account (John 13:26). They sing a hymn — the Hallel psalms, the same liturgy the crowd had sung on Palm Sunday — and go out to the Mount of Olives.</w:t>
      </w:r>
    </w:p>
    <w:p>
      <w:pPr>
        <w:spacing w:after="160"/>
        <w:jc w:val="both"/>
      </w:pPr>
      <w:r>
        <w:rPr>
          <w:rFonts w:ascii="Georgia" w:cs="Georgia" w:eastAsia="Georgia" w:hAnsi="Georgia"/>
          <w:sz w:val="24"/>
          <w:szCs w:val="24"/>
        </w:rPr>
        <w:t xml:space="preserve">In the garden of Gethsemane, Jesus moves away from the disciples and prays. The language of the prayer is among the most human in the entire Gospel tradition: Abba, Father, all things are possible for you. Remove this cup from me. Yet not what I will, but what you will (Mark 14:36). Whatever theological interpretation one places on this moment, the psychological portrait is of someone who does not want to die, who asks for a way out, and who proceeds anyway. The disciples sleep through it. He wakes them three times.</w:t>
      </w:r>
    </w:p>
    <w:p>
      <w:pPr>
        <w:spacing w:after="160"/>
        <w:jc w:val="both"/>
      </w:pPr>
      <w:r>
        <w:rPr>
          <w:rFonts w:ascii="Georgia" w:cs="Georgia" w:eastAsia="Georgia" w:hAnsi="Georgia"/>
          <w:sz w:val="24"/>
          <w:szCs w:val="24"/>
        </w:rPr>
        <w:t xml:space="preserve">Then the arrest party arrives — Judas with a crowd armed with swords and clubs, sent from the chief priests and scribes and elders (Mark 14:43). The signal is a kiss: whoever I kiss is the man. One of those standing near draws a sword and cuts off the ear of the high priest's servant. Jesus stops the resistance. And then Mark records one of the strangest details in the entire passion narrative: a young man was following, wearing nothing but a linen cloth, and they seize him, but he leaves the linen cloth and runs away naked (Mark 14:51–52).</w:t>
      </w:r>
    </w:p>
    <w:p>
      <w:pPr>
        <w:spacing w:after="160"/>
        <w:jc w:val="both"/>
      </w:pPr>
      <w:r>
        <w:rPr>
          <w:rFonts w:ascii="Georgia" w:cs="Georgia" w:eastAsia="Georgia" w:hAnsi="Georgia"/>
          <w:sz w:val="24"/>
          <w:szCs w:val="24"/>
        </w:rPr>
        <w:t xml:space="preserve">This unnamed young man appears only in Mark and only here. He has been identified variously as Mark himself, as a Gethsemane resident awakened by the noise, and as a deliberate literary echo of the young man in white who appears at the empty tomb (Mark 16:5) — the flight and nakedness representing death, the white robe representing resurrection. The detail is too specific and too strange to be invention, and too unexplained to be fully understood. It sits in the text like a splinter.</w:t>
      </w:r>
    </w:p>
    <w:p>
      <w:pPr>
        <w:spacing w:after="200"/>
        <w:ind w:left="720"/>
        <w:jc w:val="both"/>
      </w:pPr>
      <w:r>
        <w:rPr>
          <w:rFonts w:ascii="Georgia" w:cs="Georgia" w:eastAsia="Georgia" w:hAnsi="Georgia"/>
          <w:i/>
          <w:iCs/>
          <w:color w:val="555555"/>
          <w:sz w:val="20"/>
          <w:szCs w:val="20"/>
        </w:rPr>
        <w:t xml:space="preserve">"They all left him and fled." — Mark 14:50</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Friday: Trial, Crucifixion, and the Women Who Stayed</w:t>
      </w:r>
    </w:p>
    <w:p>
      <w:pPr>
        <w:spacing w:after="160"/>
        <w:jc w:val="both"/>
      </w:pPr>
      <w:r>
        <w:rPr>
          <w:rFonts w:ascii="Georgia" w:cs="Georgia" w:eastAsia="Georgia" w:hAnsi="Georgia"/>
          <w:sz w:val="24"/>
          <w:szCs w:val="24"/>
        </w:rPr>
        <w:t xml:space="preserve">The trials move quickly. Jesus is brought before the high priest and the Sanhedrin that night — an irregular proceeding, arguably illegal under Jewish law, which required capital cases to be heard in daylight. He is brought before Pilate in the morning. Pilate finds no basis for execution under Roman law but offers the crowd a choice between Jesus and Barabbas — a prisoner whose name means son of the father — and the crowd calls for Barabbas. The irony is so precise it reads as literary construction, yet both names and the Barabbas custom have enough historical attestation to resist easy dismissal.</w:t>
      </w:r>
    </w:p>
    <w:p>
      <w:pPr>
        <w:spacing w:after="160"/>
        <w:jc w:val="both"/>
      </w:pPr>
      <w:r>
        <w:rPr>
          <w:rFonts w:ascii="Georgia" w:cs="Georgia" w:eastAsia="Georgia" w:hAnsi="Georgia"/>
          <w:sz w:val="24"/>
          <w:szCs w:val="24"/>
        </w:rPr>
        <w:t xml:space="preserve">The crucifixion happens at a place called Golgotha — the Place of the Skull. The charge posted above him reads the King of the Jews (Mark 15:26) — a Roman joke that the Gospel writers take with complete theological seriousness. He is dead within hours, unusual for crucifixion victims who often survived for days. A Roman centurion, watching him die, says: truly this man was the Son of God (Mark 15:39). The first confession of Jesus's divine identity in Mark's Gospel comes from a Roman soldier. The irony is complete.</w:t>
      </w:r>
    </w:p>
    <w:p>
      <w:pPr>
        <w:spacing w:after="160"/>
        <w:jc w:val="both"/>
      </w:pPr>
      <w:r>
        <w:rPr>
          <w:rFonts w:ascii="Georgia" w:cs="Georgia" w:eastAsia="Georgia" w:hAnsi="Georgia"/>
          <w:sz w:val="24"/>
          <w:szCs w:val="24"/>
        </w:rPr>
        <w:t xml:space="preserve">The male disciples are gone. They fled in Gethsemane and have not returned. But Mark 15:40–41 notes that women were watching from a distance — among them Mary Magdalene, Mary the mother of James and Joses, and Salome. These women had followed him from Galilee and provided for him. They are there at the cross. They watch where he is laid. And when the Sabbath ends, Mary Magdalene, Mary the mother of James, and Salome go to the tomb carrying aromatic spices — arōmata — to anoint the body (Mark 16:1).</w:t>
      </w:r>
    </w:p>
    <w:p>
      <w:pPr>
        <w:spacing w:after="160"/>
        <w:jc w:val="both"/>
      </w:pPr>
      <w:r>
        <w:rPr>
          <w:rFonts w:ascii="Georgia" w:cs="Georgia" w:eastAsia="Georgia" w:hAnsi="Georgia"/>
          <w:sz w:val="24"/>
          <w:szCs w:val="24"/>
        </w:rPr>
        <w:t xml:space="preserve">The circle closes. The woman who anointed Jesus at Bethany before the week began comes back to complete what she started. The spices she brings are the same pharmacological gesture — the same female knowledge, the same aromatic substances at the boundary between life and death — that began the week in a lamplight room with a broken alabaster jar and a house full of fragrance. She was the first to understand what was coming. She is the first to arrive at the place where it has arrived.</w:t>
      </w:r>
    </w:p>
    <w:p>
      <w:pPr>
        <w:spacing w:after="200"/>
        <w:ind w:left="720"/>
        <w:jc w:val="both"/>
      </w:pPr>
      <w:r>
        <w:rPr>
          <w:rFonts w:ascii="Georgia" w:cs="Georgia" w:eastAsia="Georgia" w:hAnsi="Georgia"/>
          <w:i/>
          <w:iCs/>
          <w:color w:val="555555"/>
          <w:sz w:val="20"/>
          <w:szCs w:val="20"/>
        </w:rPr>
        <w:t xml:space="preserve">"He is risen; he is not here. See the place where they laid him." — Mark 16:6</w:t>
      </w:r>
    </w:p>
    <w:p>
      <w:pPr>
        <w:spacing w:after="80"/>
      </w:pPr>
      <w:r>
        <w:t xml:space="preserve"/>
      </w:r>
    </w:p>
    <w:p>
      <w:pPr>
        <w:pStyle w:val="Heading1"/>
        <w:pBdr>
          <w:bottom w:val="single" w:color="cccccc" w:sz="4" w:space="6"/>
        </w:pBdr>
        <w:spacing w:before="400" w:after="200"/>
      </w:pPr>
      <w:r>
        <w:rPr>
          <w:rFonts w:ascii="Georgia" w:cs="Georgia" w:eastAsia="Georgia" w:hAnsi="Georgia"/>
          <w:b/>
          <w:bCs/>
          <w:color w:val="1a1a2e"/>
          <w:sz w:val="36"/>
          <w:szCs w:val="36"/>
        </w:rPr>
        <w:t xml:space="preserve">Conclusion: What Kind of King</w:t>
      </w:r>
    </w:p>
    <w:p>
      <w:pPr>
        <w:spacing w:after="160"/>
        <w:jc w:val="both"/>
      </w:pPr>
      <w:r>
        <w:rPr>
          <w:rFonts w:ascii="Georgia" w:cs="Georgia" w:eastAsia="Georgia" w:hAnsi="Georgia"/>
          <w:sz w:val="24"/>
          <w:szCs w:val="24"/>
        </w:rPr>
        <w:t xml:space="preserve">Holy Week is not legible from a single tradition. It requires the Hebrew prophets and the Greek tragedians, the Passover liturgy and the Dionysiac epiphany, the Jewish restoration hope and the Roman imperial counter-narrative, to hold simultaneously in view. Jesus moved through it with a coherence that is hard to attribute entirely to the writers who later narrated it. He arranged the donkey. He staged the entry. He chose the Passover timing. He knew what the anointing meant and said so.</w:t>
      </w:r>
    </w:p>
    <w:p>
      <w:pPr>
        <w:spacing w:after="160"/>
        <w:jc w:val="both"/>
      </w:pPr>
      <w:r>
        <w:rPr>
          <w:rFonts w:ascii="Georgia" w:cs="Georgia" w:eastAsia="Georgia" w:hAnsi="Georgia"/>
          <w:sz w:val="24"/>
          <w:szCs w:val="24"/>
        </w:rPr>
        <w:t xml:space="preserve">What he built was a claim — made in the symbolic grammar of every tradition available to him and his audience — that the longest story his people had been telling was reaching its conclusion in him, and that the conclusion would look nothing like what they expected. Not a warhorse but a donkey. Not a conquering general but a condemned criminal. Not a king acclaimed by the powerful but a king watched at his death by the women who had followed him from Galilee and stayed when everyone else ran.</w:t>
      </w:r>
    </w:p>
    <w:p>
      <w:pPr>
        <w:spacing w:after="160"/>
        <w:jc w:val="both"/>
      </w:pPr>
      <w:r>
        <w:rPr>
          <w:rFonts w:ascii="Georgia" w:cs="Georgia" w:eastAsia="Georgia" w:hAnsi="Georgia"/>
          <w:sz w:val="24"/>
          <w:szCs w:val="24"/>
        </w:rPr>
        <w:t xml:space="preserve">The historical and literary traditions that shaped how that story was told — and the political forces that determined which version of it survived — are part of the story too. But underneath the literary architecture, the theological interpretation, the factional fights of the early church, and the imperial machinery that eventually canonized one version over all others, there is a week in Jerusalem in which something happened that nobody who was present entirely understood, and that has not stopped being argued about since.</w:t>
      </w:r>
    </w:p>
    <w:p>
      <w:pPr>
        <w:spacing w:after="80"/>
      </w:pPr>
      <w:r>
        <w:t xml:space="preserve"/>
      </w:r>
    </w:p>
    <w:p>
      <w:pPr>
        <w:spacing w:after="80"/>
      </w:pPr>
      <w:r>
        <w:t xml:space="preserve"/>
      </w:r>
    </w:p>
    <w:p>
      <w:pPr>
        <w:pStyle w:val="Heading2"/>
        <w:spacing w:before="320" w:after="160"/>
      </w:pPr>
      <w:r>
        <w:rPr>
          <w:rFonts w:ascii="Georgia" w:cs="Georgia" w:eastAsia="Georgia" w:hAnsi="Georgia"/>
          <w:b/>
          <w:bCs/>
          <w:color w:val="4a4e69"/>
          <w:sz w:val="28"/>
          <w:szCs w:val="28"/>
        </w:rPr>
        <w:t xml:space="preserve">Primary Sources</w:t>
      </w:r>
    </w:p>
    <w:p>
      <w:pPr>
        <w:spacing w:after="160"/>
        <w:jc w:val="both"/>
      </w:pPr>
      <w:r>
        <w:rPr>
          <w:rFonts w:ascii="Georgia" w:cs="Georgia" w:eastAsia="Georgia" w:hAnsi="Georgia"/>
          <w:sz w:val="24"/>
          <w:szCs w:val="24"/>
        </w:rPr>
        <w:t xml:space="preserve">Gospel of Mark (c. 65–70 CE). Mark 11–16.</w:t>
      </w:r>
    </w:p>
    <w:p>
      <w:pPr>
        <w:spacing w:after="160"/>
        <w:jc w:val="both"/>
      </w:pPr>
      <w:r>
        <w:rPr>
          <w:rFonts w:ascii="Georgia" w:cs="Georgia" w:eastAsia="Georgia" w:hAnsi="Georgia"/>
          <w:sz w:val="24"/>
          <w:szCs w:val="24"/>
        </w:rPr>
        <w:t xml:space="preserve">Gospel of Matthew (c. 80–90 CE). Matthew 21–27.</w:t>
      </w:r>
    </w:p>
    <w:p>
      <w:pPr>
        <w:spacing w:after="160"/>
        <w:jc w:val="both"/>
      </w:pPr>
      <w:r>
        <w:rPr>
          <w:rFonts w:ascii="Georgia" w:cs="Georgia" w:eastAsia="Georgia" w:hAnsi="Georgia"/>
          <w:sz w:val="24"/>
          <w:szCs w:val="24"/>
        </w:rPr>
        <w:t xml:space="preserve">Gospel of Luke (c. 80–85 CE). Luke 19–23.</w:t>
      </w:r>
    </w:p>
    <w:p>
      <w:pPr>
        <w:spacing w:after="160"/>
        <w:jc w:val="both"/>
      </w:pPr>
      <w:r>
        <w:rPr>
          <w:rFonts w:ascii="Georgia" w:cs="Georgia" w:eastAsia="Georgia" w:hAnsi="Georgia"/>
          <w:sz w:val="24"/>
          <w:szCs w:val="24"/>
        </w:rPr>
        <w:t xml:space="preserve">Gospel of John (c. 90–100 CE). John 12–20.</w:t>
      </w:r>
    </w:p>
    <w:p>
      <w:pPr>
        <w:spacing w:after="160"/>
        <w:jc w:val="both"/>
      </w:pPr>
      <w:r>
        <w:rPr>
          <w:rFonts w:ascii="Georgia" w:cs="Georgia" w:eastAsia="Georgia" w:hAnsi="Georgia"/>
          <w:sz w:val="24"/>
          <w:szCs w:val="24"/>
        </w:rPr>
        <w:t xml:space="preserve">Apollonius Rhodius. Argonautica (c. 250 BCE). Books 3–4. Trans. R.C. Seaton. Loeb Classical Library, 1912.</w:t>
      </w:r>
    </w:p>
    <w:p>
      <w:pPr>
        <w:spacing w:after="160"/>
        <w:jc w:val="both"/>
      </w:pPr>
      <w:r>
        <w:rPr>
          <w:rFonts w:ascii="Georgia" w:cs="Georgia" w:eastAsia="Georgia" w:hAnsi="Georgia"/>
          <w:sz w:val="24"/>
          <w:szCs w:val="24"/>
        </w:rPr>
        <w:t xml:space="preserve">Euripides. Medea (431 BCE). Trans. David Kovacs. Loeb Classical Library, 1994.</w:t>
      </w:r>
    </w:p>
    <w:p>
      <w:pPr>
        <w:spacing w:after="160"/>
        <w:jc w:val="both"/>
      </w:pPr>
      <w:r>
        <w:rPr>
          <w:rFonts w:ascii="Georgia" w:cs="Georgia" w:eastAsia="Georgia" w:hAnsi="Georgia"/>
          <w:sz w:val="24"/>
          <w:szCs w:val="24"/>
        </w:rPr>
        <w:t xml:space="preserve">2 Maccabees 4:7 (LXX). Trans. NRSV.</w:t>
      </w:r>
    </w:p>
    <w:p>
      <w:pPr>
        <w:spacing w:after="160"/>
        <w:jc w:val="both"/>
      </w:pPr>
      <w:r>
        <w:rPr>
          <w:rFonts w:ascii="Georgia" w:cs="Georgia" w:eastAsia="Georgia" w:hAnsi="Georgia"/>
          <w:sz w:val="24"/>
          <w:szCs w:val="24"/>
        </w:rPr>
        <w:t xml:space="preserve">Zechariah 9:9–10. Hebrew Bible / Old Testament.</w:t>
      </w:r>
    </w:p>
    <w:p>
      <w:pPr>
        <w:spacing w:after="160"/>
        <w:jc w:val="both"/>
      </w:pPr>
      <w:r>
        <w:rPr>
          <w:rFonts w:ascii="Georgia" w:cs="Georgia" w:eastAsia="Georgia" w:hAnsi="Georgia"/>
          <w:sz w:val="24"/>
          <w:szCs w:val="24"/>
        </w:rPr>
        <w:t xml:space="preserve">Malachi 3:1. Hebrew Bible / Old Testament.</w:t>
      </w:r>
    </w:p>
    <w:p>
      <w:pPr>
        <w:spacing w:after="160"/>
        <w:jc w:val="both"/>
      </w:pPr>
      <w:r>
        <w:rPr>
          <w:rFonts w:ascii="Georgia" w:cs="Georgia" w:eastAsia="Georgia" w:hAnsi="Georgia"/>
          <w:sz w:val="24"/>
          <w:szCs w:val="24"/>
        </w:rPr>
        <w:t xml:space="preserve">Josephus, Flavius. Antiquities of the Jews. Book 20, Ch. 9.</w:t>
      </w:r>
    </w:p>
    <w:p>
      <w:pPr>
        <w:spacing w:after="160"/>
        <w:jc w:val="both"/>
      </w:pPr>
      <w:r>
        <w:rPr>
          <w:rFonts w:ascii="Georgia" w:cs="Georgia" w:eastAsia="Georgia" w:hAnsi="Georgia"/>
          <w:sz w:val="24"/>
          <w:szCs w:val="24"/>
        </w:rPr>
        <w:t xml:space="preserve">Ovid. Metamorphoses. Book 7. Trans. A.D. Melville. Oxford University Press, 1986.</w:t>
      </w:r>
    </w:p>
    <w:p>
      <w:pPr>
        <w:spacing w:after="80"/>
      </w:pPr>
      <w:r>
        <w:t xml:space="preserve"/>
      </w:r>
    </w:p>
    <w:p>
      <w:pPr>
        <w:pStyle w:val="Heading2"/>
        <w:spacing w:before="320" w:after="160"/>
      </w:pPr>
      <w:r>
        <w:rPr>
          <w:rFonts w:ascii="Georgia" w:cs="Georgia" w:eastAsia="Georgia" w:hAnsi="Georgia"/>
          <w:b/>
          <w:bCs/>
          <w:color w:val="4a4e69"/>
          <w:sz w:val="28"/>
          <w:szCs w:val="28"/>
        </w:rPr>
        <w:t xml:space="preserve">Secondary Sources</w:t>
      </w:r>
    </w:p>
    <w:p>
      <w:pPr>
        <w:spacing w:after="160"/>
        <w:jc w:val="both"/>
      </w:pPr>
      <w:r>
        <w:rPr>
          <w:rFonts w:ascii="Georgia" w:cs="Georgia" w:eastAsia="Georgia" w:hAnsi="Georgia"/>
          <w:sz w:val="24"/>
          <w:szCs w:val="24"/>
        </w:rPr>
        <w:t xml:space="preserve">Boyarin, Daniel. Dying for God: Martyrdom and the Making of Christianity and Judaism. Stanford University Press, 1999.</w:t>
      </w:r>
    </w:p>
    <w:p>
      <w:pPr>
        <w:spacing w:after="160"/>
        <w:jc w:val="both"/>
      </w:pPr>
      <w:r>
        <w:rPr>
          <w:rFonts w:ascii="Georgia" w:cs="Georgia" w:eastAsia="Georgia" w:hAnsi="Georgia"/>
          <w:sz w:val="24"/>
          <w:szCs w:val="24"/>
        </w:rPr>
        <w:t xml:space="preserve">Hunter, R.L. The Argonautica of Apollonius: Literary Studies. Cambridge University Press, 1993.</w:t>
      </w:r>
    </w:p>
    <w:p>
      <w:pPr>
        <w:spacing w:after="160"/>
        <w:jc w:val="both"/>
      </w:pPr>
      <w:r>
        <w:rPr>
          <w:rFonts w:ascii="Georgia" w:cs="Georgia" w:eastAsia="Georgia" w:hAnsi="Georgia"/>
          <w:sz w:val="24"/>
          <w:szCs w:val="24"/>
        </w:rPr>
        <w:t xml:space="preserve">King, Karen L. The Gospel of Mary of Magdala: Jesus and the First Woman Apostle. Polebridge Press, 2003.</w:t>
      </w:r>
    </w:p>
    <w:p>
      <w:pPr>
        <w:spacing w:after="160"/>
        <w:jc w:val="both"/>
      </w:pPr>
      <w:r>
        <w:rPr>
          <w:rFonts w:ascii="Georgia" w:cs="Georgia" w:eastAsia="Georgia" w:hAnsi="Georgia"/>
          <w:sz w:val="24"/>
          <w:szCs w:val="24"/>
        </w:rPr>
        <w:t xml:space="preserve">Pagels, Elaine. The Gnostic Gospels. Random House, 1979.</w:t>
      </w:r>
    </w:p>
    <w:p>
      <w:pPr>
        <w:spacing w:after="160"/>
        <w:jc w:val="both"/>
      </w:pPr>
      <w:r>
        <w:rPr>
          <w:rFonts w:ascii="Georgia" w:cs="Georgia" w:eastAsia="Georgia" w:hAnsi="Georgia"/>
          <w:sz w:val="24"/>
          <w:szCs w:val="24"/>
        </w:rPr>
        <w:t xml:space="preserve">Schweitzer, Albert. The Quest of the Historical Jesus. 1906. Trans. W. Montgomery. Fortress Press, 2001.</w:t>
      </w:r>
    </w:p>
    <w:p>
      <w:pPr>
        <w:spacing w:after="160"/>
        <w:jc w:val="both"/>
      </w:pPr>
      <w:r>
        <w:rPr>
          <w:rFonts w:ascii="Georgia" w:cs="Georgia" w:eastAsia="Georgia" w:hAnsi="Georgia"/>
          <w:sz w:val="24"/>
          <w:szCs w:val="24"/>
        </w:rPr>
        <w:t xml:space="preserve">Wright, N.T. Jesus and the Victory of God. Fortress Press, 1996.</w:t>
      </w:r>
    </w:p>
    <w:p>
      <w:pPr>
        <w:spacing w:after="160"/>
        <w:jc w:val="both"/>
      </w:pPr>
      <w:r>
        <w:rPr>
          <w:rFonts w:ascii="Georgia" w:cs="Georgia" w:eastAsia="Georgia" w:hAnsi="Georgia"/>
          <w:sz w:val="24"/>
          <w:szCs w:val="24"/>
        </w:rPr>
        <w:t xml:space="preserve">Clauss, James J. and Johnston, Sarah Iles, eds. Medea: Essays on Medea in Myth, Literature, Philosophy, and Art. Princeton University Press, 1997.</w:t>
      </w:r>
    </w:p>
    <w:p>
      <w:pPr>
        <w:spacing w:after="160"/>
        <w:jc w:val="both"/>
      </w:pPr>
      <w:r>
        <w:rPr>
          <w:rFonts w:ascii="Georgia" w:cs="Georgia" w:eastAsia="Georgia" w:hAnsi="Georgia"/>
          <w:sz w:val="24"/>
          <w:szCs w:val="24"/>
        </w:rPr>
        <w:t xml:space="preserve">Fontenrose, Joseph. Python: A Study of Delphic Myth. University of California Press, 1959.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4a4e6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2026-03-29T20:47:14.023Z</dcterms:created>
  <dcterms:modified xsi:type="dcterms:W3CDTF">2026-03-29T20:47:14.024Z</dcterms:modified>
</cp:coreProperties>
</file>

<file path=docProps/custom.xml><?xml version="1.0" encoding="utf-8"?>
<Properties xmlns="http://schemas.openxmlformats.org/officeDocument/2006/custom-properties" xmlns:vt="http://schemas.openxmlformats.org/officeDocument/2006/docPropsVTypes"/>
</file>