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Acme Technologies — Employee Leave Policy</w:t>
      </w:r>
    </w:p>
    <w:p>
      <w:r>
        <w:t>Sample document for testing DOCX ingestion in a local RAG application.</w:t>
      </w:r>
    </w:p>
    <w:p>
      <w:pPr>
        <w:pStyle w:val="Heading2"/>
      </w:pPr>
      <w:r>
        <w:t>1. Purpose</w:t>
      </w:r>
    </w:p>
    <w:p>
      <w:r>
        <w:t>This policy explains annual leave and leave-request procedures for employees of Acme Technologies.</w:t>
      </w:r>
    </w:p>
    <w:p>
      <w:pPr>
        <w:pStyle w:val="Heading2"/>
      </w:pPr>
      <w:r>
        <w:t>2. Annual Leave Entitlement</w:t>
      </w:r>
    </w:p>
    <w:p>
      <w:r>
        <w:t>Full-time employees receive 20 days of paid annual leave per calendar year.</w:t>
      </w:r>
    </w:p>
    <w:p>
      <w:pPr>
        <w:pStyle w:val="Heading2"/>
      </w:pPr>
      <w:r>
        <w:t>3. Requesting Leave</w:t>
      </w:r>
    </w:p>
    <w:p>
      <w:r>
        <w:t>Employees must submit annual leave requests at least five working days before the intended leave date.</w:t>
      </w:r>
    </w:p>
    <w:p>
      <w:pPr>
        <w:pStyle w:val="Heading2"/>
      </w:pPr>
      <w:r>
        <w:t>4. Approval Authority</w:t>
      </w:r>
    </w:p>
    <w:p>
      <w:r>
        <w:t>The employee's direct manager reviews and approves or rejects annual leave requests.</w:t>
      </w:r>
    </w:p>
    <w:p>
      <w:pPr>
        <w:pStyle w:val="Heading2"/>
      </w:pPr>
      <w:r>
        <w:t>5. Carryover</w:t>
      </w:r>
    </w:p>
    <w:p>
      <w:r>
        <w:t>Unused annual leave does not automatically carry over into the next calendar year. Employees must contact Human Resources (HR) to ask whether an exception applies.</w:t>
      </w:r>
    </w:p>
    <w:p>
      <w:pPr>
        <w:pStyle w:val="Heading2"/>
      </w:pPr>
      <w:r>
        <w:t>6. Sick Leave</w:t>
      </w:r>
    </w:p>
    <w:p>
      <w:r>
        <w:t>Employees should notify their manager as soon as reasonably possible when they cannot work because of illness. This document does not specify a fixed number of paid sick-leave days.</w:t>
      </w:r>
    </w:p>
    <w:p>
      <w:pPr>
        <w:pStyle w:val="Heading2"/>
      </w:pPr>
      <w:r>
        <w:t>7. Parental Leave</w:t>
      </w:r>
    </w:p>
    <w:p>
      <w:r>
        <w:t>This sample policy does not define parental-leave eligibility, duration, pay, or application procedures. Employees should contact HR for guidance.</w:t>
      </w:r>
    </w:p>
    <w:p>
      <w:pPr>
        <w:pStyle w:val="Heading2"/>
      </w:pPr>
      <w:r>
        <w:t>8. Remote Work</w:t>
      </w:r>
    </w:p>
    <w:p>
      <w:r>
        <w:t>This leave policy does not define remote-work eligibility or remote-work schedules.</w:t>
      </w:r>
    </w:p>
    <w:p>
      <w:pPr>
        <w:pStyle w:val="Heading2"/>
      </w:pPr>
      <w:r>
        <w:t>9. Leave Request Workflow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Step</w:t>
            </w:r>
          </w:p>
        </w:tc>
        <w:tc>
          <w:tcPr>
            <w:tcW w:type="dxa" w:w="4320"/>
          </w:tcPr>
          <w:p>
            <w:r>
              <w:t>Action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Employee submits the request to their direct manager.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Manager reviews the requested dates and team coverage.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Manager approves or rejects the request.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Employee checks with HR if they need clarification about carryover exceptions.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