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0" w:before="0"/>
        <w:jc w:val="center"/>
      </w:pPr>
      <w:r>
        <w:rPr>
          <w:rFonts w:ascii="Arial" w:cs="Arial" w:eastAsia="Arial" w:hAnsi="Arial"/>
          <w:caps/>
          <w:color w:val="2E75B6"/>
          <w:spacing w:val="60"/>
          <w:sz w:val="24"/>
          <w:szCs w:val="24"/>
        </w:rPr>
        <w:t xml:space="preserve">URBAN WATER SOLUTIONS INITIATIVE</w:t>
      </w:r>
    </w:p>
    <w:p>
      <w:pPr>
        <w:spacing w:after="0" w:before="600"/>
      </w:pPr>
    </w:p>
    <w:p>
      <w:pPr>
        <w:shd w:fill="1A3A5C" w:val="clear"/>
        <w:spacing w:after="0" w:before="0"/>
        <w:jc w:val="center"/>
      </w:pPr>
      <w:r>
        <w:rPr>
          <w:rFonts w:ascii="Arial" w:cs="Arial" w:eastAsia="Arial" w:hAnsi="Arial"/>
          <w:b/>
          <w:bCs/>
          <w:color w:val="FFFFFF"/>
          <w:sz w:val="68"/>
          <w:szCs w:val="68"/>
        </w:rPr>
        <w:t xml:space="preserve">  REVERSE OSMOSIS  </w:t>
      </w:r>
    </w:p>
    <w:p>
      <w:pPr>
        <w:shd w:fill="2E75B6" w:val="clear"/>
        <w:spacing w:after="0" w:before="0"/>
        <w:jc w:val="center"/>
      </w:pPr>
      <w:r>
        <w:rPr>
          <w:rFonts w:ascii="Arial" w:cs="Arial" w:eastAsia="Arial" w:hAnsi="Arial"/>
          <w:b/>
          <w:bCs/>
          <w:color w:val="FFFFFF"/>
          <w:sz w:val="40"/>
          <w:szCs w:val="40"/>
        </w:rPr>
        <w:t xml:space="preserve">  WATER FILTRATION SYSTEMS  </w:t>
      </w:r>
    </w:p>
    <w:p>
      <w:pPr>
        <w:shd w:fill="00838F" w:val="clear"/>
        <w:spacing w:after="0" w:before="0"/>
        <w:jc w:val="center"/>
      </w:pPr>
      <w:r>
        <w:rPr>
          <w:rFonts w:ascii="Arial" w:cs="Arial" w:eastAsia="Arial" w:hAnsi="Arial"/>
          <w:b/>
          <w:bCs/>
          <w:color w:val="FFFFFF"/>
          <w:sz w:val="30"/>
          <w:szCs w:val="30"/>
        </w:rPr>
        <w:t xml:space="preserve">  FOR CITIES &amp; COMMUNITIES  </w:t>
      </w:r>
    </w:p>
    <w:p>
      <w:pPr>
        <w:spacing w:after="0" w:before="400"/>
      </w:pPr>
    </w:p>
    <w:p>
      <w:pPr>
        <w:spacing w:after="40" w:before="0"/>
        <w:jc w:val="center"/>
      </w:pPr>
      <w:r>
        <w:rPr>
          <w:rFonts w:ascii="Arial" w:cs="Arial" w:eastAsia="Arial" w:hAnsi="Arial"/>
          <w:b w:val="false"/>
          <w:bCs w:val="false"/>
          <w:caps/>
          <w:color w:val="4A5568"/>
          <w:spacing w:val="40"/>
          <w:sz w:val="24"/>
          <w:szCs w:val="24"/>
        </w:rPr>
        <w:t xml:space="preserve">TECHNICAL FEASIBILITY &amp; IMPACT REPORT</w:t>
      </w:r>
    </w:p>
    <w:p>
      <w:pPr>
        <w:spacing w:after="0" w:before="3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tblGrid>
      <w:tr>
        <w:tc>
          <w:tcPr>
            <w:tcW w:type="dxa" w:w="1800"/>
            <w:tcBorders>
              <w:top w:val="single" w:color="D9DDE1" w:sz="4"/>
              <w:left w:val="single" w:color="D9DDE1" w:sz="4"/>
              <w:bottom w:val="single" w:color="D9DDE1" w:sz="4"/>
              <w:right w:val="single" w:color="D9DDE1" w:sz="4"/>
            </w:tcBorders>
            <w:shd w:fill="1A3A5C" w:val="clear"/>
            <w:tcMar>
              <w:top w:type="dxa" w:w="80"/>
              <w:left w:type="dxa" w:w="150"/>
              <w:bottom w:type="dxa" w:w="80"/>
              <w:right w:type="dxa" w:w="150"/>
            </w:tcMar>
            <w:vAlign w:val="center"/>
          </w:tcPr>
          <w:p>
            <w:pPr>
              <w:jc w:val="left"/>
            </w:pPr>
            <w:r>
              <w:rPr>
                <w:rFonts w:ascii="Arial" w:cs="Arial" w:eastAsia="Arial" w:hAnsi="Arial"/>
                <w:b/>
                <w:bCs/>
                <w:color w:val="FFFFFF"/>
                <w:sz w:val="21"/>
                <w:szCs w:val="21"/>
              </w:rPr>
              <w:t xml:space="preserve">Project Code</w:t>
            </w:r>
          </w:p>
        </w:tc>
        <w:tc>
          <w:tcPr>
            <w:tcW w:type="dxa" w:w="5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UWSI-RO-2025-001</w:t>
            </w:r>
          </w:p>
        </w:tc>
      </w:tr>
      <w:tr>
        <w:tc>
          <w:tcPr>
            <w:tcW w:type="dxa" w:w="1800"/>
            <w:tcBorders>
              <w:top w:val="single" w:color="D9DDE1" w:sz="4"/>
              <w:left w:val="single" w:color="D9DDE1" w:sz="4"/>
              <w:bottom w:val="single" w:color="D9DDE1" w:sz="4"/>
              <w:right w:val="single" w:color="D9DDE1" w:sz="4"/>
            </w:tcBorders>
            <w:shd w:fill="1A3A5C" w:val="clear"/>
            <w:tcMar>
              <w:top w:type="dxa" w:w="80"/>
              <w:left w:type="dxa" w:w="150"/>
              <w:bottom w:type="dxa" w:w="80"/>
              <w:right w:type="dxa" w:w="150"/>
            </w:tcMar>
            <w:vAlign w:val="center"/>
          </w:tcPr>
          <w:p>
            <w:pPr>
              <w:jc w:val="left"/>
            </w:pPr>
            <w:r>
              <w:rPr>
                <w:rFonts w:ascii="Arial" w:cs="Arial" w:eastAsia="Arial" w:hAnsi="Arial"/>
                <w:b/>
                <w:bCs/>
                <w:color w:val="FFFFFF"/>
                <w:sz w:val="21"/>
                <w:szCs w:val="21"/>
              </w:rPr>
              <w:t xml:space="preserve">Classification</w:t>
            </w:r>
          </w:p>
        </w:tc>
        <w:tc>
          <w:tcPr>
            <w:tcW w:type="dxa" w:w="54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Technical Proposal / Community Infrastructure</w:t>
            </w:r>
          </w:p>
        </w:tc>
      </w:tr>
      <w:tr>
        <w:tc>
          <w:tcPr>
            <w:tcW w:type="dxa" w:w="1800"/>
            <w:tcBorders>
              <w:top w:val="single" w:color="D9DDE1" w:sz="4"/>
              <w:left w:val="single" w:color="D9DDE1" w:sz="4"/>
              <w:bottom w:val="single" w:color="D9DDE1" w:sz="4"/>
              <w:right w:val="single" w:color="D9DDE1" w:sz="4"/>
            </w:tcBorders>
            <w:shd w:fill="1A3A5C" w:val="clear"/>
            <w:tcMar>
              <w:top w:type="dxa" w:w="80"/>
              <w:left w:type="dxa" w:w="150"/>
              <w:bottom w:type="dxa" w:w="80"/>
              <w:right w:type="dxa" w:w="150"/>
            </w:tcMar>
            <w:vAlign w:val="center"/>
          </w:tcPr>
          <w:p>
            <w:pPr>
              <w:jc w:val="left"/>
            </w:pPr>
            <w:r>
              <w:rPr>
                <w:rFonts w:ascii="Arial" w:cs="Arial" w:eastAsia="Arial" w:hAnsi="Arial"/>
                <w:b/>
                <w:bCs/>
                <w:color w:val="FFFFFF"/>
                <w:sz w:val="21"/>
                <w:szCs w:val="21"/>
              </w:rPr>
              <w:t xml:space="preserve">Prepared By</w:t>
            </w:r>
          </w:p>
        </w:tc>
        <w:tc>
          <w:tcPr>
            <w:tcW w:type="dxa" w:w="5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Urban Water Solutions Initiative (UWSI)</w:t>
            </w:r>
          </w:p>
        </w:tc>
      </w:tr>
      <w:tr>
        <w:tc>
          <w:tcPr>
            <w:tcW w:type="dxa" w:w="1800"/>
            <w:tcBorders>
              <w:top w:val="single" w:color="D9DDE1" w:sz="4"/>
              <w:left w:val="single" w:color="D9DDE1" w:sz="4"/>
              <w:bottom w:val="single" w:color="D9DDE1" w:sz="4"/>
              <w:right w:val="single" w:color="D9DDE1" w:sz="4"/>
            </w:tcBorders>
            <w:shd w:fill="1A3A5C" w:val="clear"/>
            <w:tcMar>
              <w:top w:type="dxa" w:w="80"/>
              <w:left w:type="dxa" w:w="150"/>
              <w:bottom w:type="dxa" w:w="80"/>
              <w:right w:type="dxa" w:w="150"/>
            </w:tcMar>
            <w:vAlign w:val="center"/>
          </w:tcPr>
          <w:p>
            <w:pPr>
              <w:jc w:val="left"/>
            </w:pPr>
            <w:r>
              <w:rPr>
                <w:rFonts w:ascii="Arial" w:cs="Arial" w:eastAsia="Arial" w:hAnsi="Arial"/>
                <w:b/>
                <w:bCs/>
                <w:color w:val="FFFFFF"/>
                <w:sz w:val="21"/>
                <w:szCs w:val="21"/>
              </w:rPr>
              <w:t xml:space="preserve">Version</w:t>
            </w:r>
          </w:p>
        </w:tc>
        <w:tc>
          <w:tcPr>
            <w:tcW w:type="dxa" w:w="54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1.0 — Final Draft, 2025</w:t>
            </w:r>
          </w:p>
        </w:tc>
      </w:tr>
      <w:tr>
        <w:tc>
          <w:tcPr>
            <w:tcW w:type="dxa" w:w="1800"/>
            <w:tcBorders>
              <w:top w:val="single" w:color="D9DDE1" w:sz="4"/>
              <w:left w:val="single" w:color="D9DDE1" w:sz="4"/>
              <w:bottom w:val="single" w:color="D9DDE1" w:sz="4"/>
              <w:right w:val="single" w:color="D9DDE1" w:sz="4"/>
            </w:tcBorders>
            <w:shd w:fill="009344" w:val="clear"/>
            <w:tcMar>
              <w:top w:type="dxa" w:w="80"/>
              <w:left w:type="dxa" w:w="150"/>
              <w:bottom w:type="dxa" w:w="80"/>
              <w:right w:type="dxa" w:w="150"/>
            </w:tcMar>
            <w:vAlign w:val="center"/>
          </w:tcPr>
          <w:p>
            <w:pPr>
              <w:jc w:val="left"/>
            </w:pPr>
            <w:r>
              <w:rPr>
                <w:rFonts w:ascii="Arial" w:cs="Arial" w:eastAsia="Arial" w:hAnsi="Arial"/>
                <w:b/>
                <w:bCs/>
                <w:color w:val="FFFFFF"/>
                <w:sz w:val="21"/>
                <w:szCs w:val="21"/>
              </w:rPr>
              <w:t xml:space="preserve">SDG Alignment</w:t>
            </w:r>
          </w:p>
        </w:tc>
        <w:tc>
          <w:tcPr>
            <w:tcW w:type="dxa" w:w="5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009344"/>
                <w:sz w:val="21"/>
                <w:szCs w:val="21"/>
              </w:rPr>
              <w:t xml:space="preserve">SDG 3, 6, 10, 11, 13, 17</w:t>
            </w:r>
          </w:p>
        </w:tc>
      </w:tr>
    </w:tbl>
    <w:p>
      <w:pPr>
        <w:spacing w:after="0" w:before="600"/>
      </w:pPr>
    </w:p>
    <w:p>
      <w:pPr>
        <w:spacing w:after="0" w:before="0"/>
        <w:jc w:val="center"/>
      </w:pPr>
      <w:r>
        <w:rPr>
          <w:rFonts w:ascii="Arial" w:cs="Arial" w:eastAsia="Arial" w:hAnsi="Arial"/>
          <w:i/>
          <w:iCs/>
          <w:color w:val="00838F"/>
          <w:sz w:val="22"/>
          <w:szCs w:val="22"/>
        </w:rPr>
        <w:t xml:space="preserve">"Water is the driving force of all nature."</w:t>
      </w:r>
    </w:p>
    <w:p>
      <w:pPr>
        <w:spacing w:after="0" w:before="40"/>
        <w:jc w:val="center"/>
      </w:pPr>
      <w:r>
        <w:rPr>
          <w:rFonts w:ascii="Arial" w:cs="Arial" w:eastAsia="Arial" w:hAnsi="Arial"/>
          <w:color w:val="4A5568"/>
          <w:sz w:val="20"/>
          <w:szCs w:val="20"/>
        </w:rPr>
        <w:t xml:space="preserve">— Leonardo da Vinci</w:t>
      </w: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Executive Summary</w:t>
      </w:r>
    </w:p>
    <w:p>
      <w:pPr>
        <w:spacing w:after="120" w:before="80"/>
        <w:jc w:val="both"/>
      </w:pPr>
      <w:r>
        <w:rPr>
          <w:rFonts w:ascii="Arial" w:cs="Arial" w:eastAsia="Arial" w:hAnsi="Arial"/>
          <w:color w:val="1C2A36"/>
          <w:sz w:val="22"/>
          <w:szCs w:val="22"/>
        </w:rPr>
        <w:t xml:space="preserve">Access to clean, safe, and sustainable drinking water remains one of the most pressing challenges facing urban and peri-urban communities worldwide. This report presents a comprehensive technical and strategic framework for implementing Reverse Osmosis (RO) Water Filtration Systems as a scalable, community-centric solution to the global clean-water crisis.</w:t>
      </w:r>
    </w:p>
    <w:p>
      <w:pPr>
        <w:spacing w:after="120" w:before="80"/>
        <w:jc w:val="both"/>
      </w:pPr>
      <w:r>
        <w:rPr>
          <w:rFonts w:ascii="Arial" w:cs="Arial" w:eastAsia="Arial" w:hAnsi="Arial"/>
          <w:color w:val="1C2A36"/>
          <w:sz w:val="22"/>
          <w:szCs w:val="22"/>
        </w:rPr>
        <w:t xml:space="preserve">Reverse osmosis technology offers a proven, cost-effective method for removing contaminants — including heavy metals, biological pathogens, dissolved solids, and industrial pollutants — from source water at municipal scale. This initiative proposes the phased deployment of centralized and point-of-distribution RO infrastructure across target cities and underserved communities, with a strong emphasis on equitable access, operational sustainability, and local capacity building.</w:t>
      </w:r>
    </w:p>
    <w:p>
      <w:pPr>
        <w:spacing w:after="120" w:before="80"/>
        <w:jc w:val="both"/>
      </w:pPr>
      <w:r>
        <w:rPr>
          <w:rFonts w:ascii="Arial" w:cs="Arial" w:eastAsia="Arial" w:hAnsi="Arial"/>
          <w:color w:val="1C2A36"/>
          <w:sz w:val="22"/>
          <w:szCs w:val="22"/>
        </w:rPr>
        <w:t xml:space="preserve">This project is explicitly aligned with six United Nations Sustainable Development Goals (UN SDGs), including SDG 6 (Clean Water and Sanitation), SDG 3 (Good Health and Well-being), SDG 11 (Sustainable Cities and Communities), SDG 10 (Reduced Inequalities), SDG 13 (Climate Action), and SDG 17 (Partnerships for the Goals). By integrating technical excellence with social equity and environmental stewardship, this initiative provides a replicable blueprint for 21st-century water security.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Target Population</w:t>
            </w:r>
          </w:p>
        </w:tc>
        <w:tc>
          <w:tcPr>
            <w:tcW w:type="dxa" w:w="2340"/>
            <w:tcBorders>
              <w:top w:val="single" w:color="1A3A5C" w:sz="4"/>
              <w:left w:val="single" w:color="1A3A5C" w:sz="4"/>
              <w:bottom w:val="single" w:color="1A3A5C" w:sz="4"/>
              <w:right w:val="single" w:color="1A3A5C"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RO Efficiency</w:t>
            </w:r>
          </w:p>
        </w:tc>
        <w:tc>
          <w:tcPr>
            <w:tcW w:type="dxa" w:w="2340"/>
            <w:tcBorders>
              <w:top w:val="single" w:color="1A3A5C" w:sz="4"/>
              <w:left w:val="single" w:color="1A3A5C" w:sz="4"/>
              <w:bottom w:val="single" w:color="1A3A5C" w:sz="4"/>
              <w:right w:val="single" w:color="1A3A5C" w:sz="4"/>
            </w:tcBorders>
            <w:shd w:fill="00838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Contaminant Removal</w:t>
            </w:r>
          </w:p>
        </w:tc>
        <w:tc>
          <w:tcPr>
            <w:tcW w:type="dxa" w:w="2340"/>
            <w:tcBorders>
              <w:top w:val="single" w:color="1A3A5C" w:sz="4"/>
              <w:left w:val="single" w:color="1A3A5C" w:sz="4"/>
              <w:bottom w:val="single" w:color="1A3A5C" w:sz="4"/>
              <w:right w:val="single" w:color="1A3A5C" w:sz="4"/>
            </w:tcBorders>
            <w:shd w:fill="00934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Project Lifespan</w:t>
            </w:r>
          </w:p>
        </w:tc>
      </w:tr>
      <w:tr>
        <w:tc>
          <w:tcPr>
            <w:tcW w:type="dxa" w:w="2340"/>
            <w:tcBorders>
              <w:top w:val="single" w:color="D9DDE1" w:sz="4"/>
              <w:left w:val="single" w:color="D9DDE1" w:sz="4"/>
              <w:bottom w:val="single" w:color="D9DDE1" w:sz="4"/>
              <w:right w:val="single" w:color="D9DDE1" w:sz="4"/>
            </w:tcBorders>
            <w:shd w:fill="F4F6F8" w:val="clear"/>
            <w:tcMar>
              <w:top w:type="dxa" w:w="120"/>
              <w:left w:type="dxa" w:w="150"/>
              <w:bottom w:type="dxa" w:w="120"/>
              <w:right w:type="dxa" w:w="150"/>
            </w:tcMar>
            <w:vAlign w:val="center"/>
          </w:tcPr>
          <w:p>
            <w:pPr>
              <w:jc w:val="center"/>
            </w:pPr>
            <w:r>
              <w:rPr>
                <w:rFonts w:ascii="Arial" w:cs="Arial" w:eastAsia="Arial" w:hAnsi="Arial"/>
                <w:b/>
                <w:bCs/>
                <w:color w:val="1A3A5C"/>
                <w:sz w:val="36"/>
                <w:szCs w:val="36"/>
              </w:rPr>
              <w:t xml:space="preserve">500,000+</w:t>
            </w:r>
          </w:p>
          <w:p>
            <w:pPr>
              <w:jc w:val="center"/>
            </w:pPr>
            <w:r>
              <w:rPr>
                <w:rFonts w:ascii="Arial" w:cs="Arial" w:eastAsia="Arial" w:hAnsi="Arial"/>
                <w:color w:val="4A5568"/>
                <w:sz w:val="18"/>
                <w:szCs w:val="18"/>
              </w:rPr>
              <w:t xml:space="preserve">beneficiaries</w:t>
            </w:r>
          </w:p>
        </w:tc>
        <w:tc>
          <w:tcPr>
            <w:tcW w:type="dxa" w:w="2340"/>
            <w:tcBorders>
              <w:top w:val="single" w:color="D9DDE1" w:sz="4"/>
              <w:left w:val="single" w:color="D9DDE1" w:sz="4"/>
              <w:bottom w:val="single" w:color="D9DDE1" w:sz="4"/>
              <w:right w:val="single" w:color="D9DDE1" w:sz="4"/>
            </w:tcBorders>
            <w:shd w:fill="FFFFFF" w:val="clear"/>
            <w:tcMar>
              <w:top w:type="dxa" w:w="120"/>
              <w:left w:type="dxa" w:w="150"/>
              <w:bottom w:type="dxa" w:w="120"/>
              <w:right w:type="dxa" w:w="150"/>
            </w:tcMar>
            <w:vAlign w:val="center"/>
          </w:tcPr>
          <w:p>
            <w:pPr>
              <w:jc w:val="center"/>
            </w:pPr>
            <w:r>
              <w:rPr>
                <w:rFonts w:ascii="Arial" w:cs="Arial" w:eastAsia="Arial" w:hAnsi="Arial"/>
                <w:b/>
                <w:bCs/>
                <w:color w:val="2E75B6"/>
                <w:sz w:val="36"/>
                <w:szCs w:val="36"/>
              </w:rPr>
              <w:t xml:space="preserve">95–99%</w:t>
            </w:r>
          </w:p>
          <w:p>
            <w:pPr>
              <w:jc w:val="center"/>
            </w:pPr>
            <w:r>
              <w:rPr>
                <w:rFonts w:ascii="Arial" w:cs="Arial" w:eastAsia="Arial" w:hAnsi="Arial"/>
                <w:color w:val="4A5568"/>
                <w:sz w:val="18"/>
                <w:szCs w:val="18"/>
              </w:rPr>
              <w:t xml:space="preserve">filtration rate</w:t>
            </w:r>
          </w:p>
        </w:tc>
        <w:tc>
          <w:tcPr>
            <w:tcW w:type="dxa" w:w="2340"/>
            <w:tcBorders>
              <w:top w:val="single" w:color="D9DDE1" w:sz="4"/>
              <w:left w:val="single" w:color="D9DDE1" w:sz="4"/>
              <w:bottom w:val="single" w:color="D9DDE1" w:sz="4"/>
              <w:right w:val="single" w:color="D9DDE1" w:sz="4"/>
            </w:tcBorders>
            <w:shd w:fill="F4F6F8" w:val="clear"/>
            <w:tcMar>
              <w:top w:type="dxa" w:w="120"/>
              <w:left w:type="dxa" w:w="150"/>
              <w:bottom w:type="dxa" w:w="120"/>
              <w:right w:type="dxa" w:w="150"/>
            </w:tcMar>
            <w:vAlign w:val="center"/>
          </w:tcPr>
          <w:p>
            <w:pPr>
              <w:jc w:val="center"/>
            </w:pPr>
            <w:r>
              <w:rPr>
                <w:rFonts w:ascii="Arial" w:cs="Arial" w:eastAsia="Arial" w:hAnsi="Arial"/>
                <w:b/>
                <w:bCs/>
                <w:color w:val="00838F"/>
                <w:sz w:val="36"/>
                <w:szCs w:val="36"/>
              </w:rPr>
              <w:t xml:space="preserve">99.9%</w:t>
            </w:r>
          </w:p>
          <w:p>
            <w:pPr>
              <w:jc w:val="center"/>
            </w:pPr>
            <w:r>
              <w:rPr>
                <w:rFonts w:ascii="Arial" w:cs="Arial" w:eastAsia="Arial" w:hAnsi="Arial"/>
                <w:color w:val="4A5568"/>
                <w:sz w:val="18"/>
                <w:szCs w:val="18"/>
              </w:rPr>
              <w:t xml:space="preserve">pathogen removal</w:t>
            </w:r>
          </w:p>
        </w:tc>
        <w:tc>
          <w:tcPr>
            <w:tcW w:type="dxa" w:w="2340"/>
            <w:tcBorders>
              <w:top w:val="single" w:color="D9DDE1" w:sz="4"/>
              <w:left w:val="single" w:color="D9DDE1" w:sz="4"/>
              <w:bottom w:val="single" w:color="D9DDE1" w:sz="4"/>
              <w:right w:val="single" w:color="D9DDE1" w:sz="4"/>
            </w:tcBorders>
            <w:shd w:fill="FFFFFF" w:val="clear"/>
            <w:tcMar>
              <w:top w:type="dxa" w:w="120"/>
              <w:left w:type="dxa" w:w="150"/>
              <w:bottom w:type="dxa" w:w="120"/>
              <w:right w:type="dxa" w:w="150"/>
            </w:tcMar>
            <w:vAlign w:val="center"/>
          </w:tcPr>
          <w:p>
            <w:pPr>
              <w:jc w:val="center"/>
            </w:pPr>
            <w:r>
              <w:rPr>
                <w:rFonts w:ascii="Arial" w:cs="Arial" w:eastAsia="Arial" w:hAnsi="Arial"/>
                <w:b/>
                <w:bCs/>
                <w:color w:val="009344"/>
                <w:sz w:val="36"/>
                <w:szCs w:val="36"/>
              </w:rPr>
              <w:t xml:space="preserve">20+ years</w:t>
            </w:r>
          </w:p>
          <w:p>
            <w:pPr>
              <w:jc w:val="center"/>
            </w:pPr>
            <w:r>
              <w:rPr>
                <w:rFonts w:ascii="Arial" w:cs="Arial" w:eastAsia="Arial" w:hAnsi="Arial"/>
                <w:color w:val="4A5568"/>
                <w:sz w:val="18"/>
                <w:szCs w:val="18"/>
              </w:rPr>
              <w:t xml:space="preserve">operational life</w:t>
            </w:r>
          </w:p>
        </w:tc>
      </w:tr>
    </w:tbl>
    <w:p>
      <w:pPr>
        <w:spacing w:after="0" w:before="3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1. Introduction &amp; Problem Statement</w:t>
      </w:r>
    </w:p>
    <w:p>
      <w:pPr>
        <w:pStyle w:val="Heading2"/>
        <w:spacing w:after="120" w:before="280"/>
      </w:pPr>
      <w:r>
        <w:rPr>
          <w:rFonts w:ascii="Arial" w:cs="Arial" w:eastAsia="Arial" w:hAnsi="Arial"/>
          <w:b/>
          <w:bCs/>
          <w:color w:val="2E75B6"/>
          <w:sz w:val="28"/>
          <w:szCs w:val="28"/>
        </w:rPr>
        <w:t xml:space="preserve">1.1  The Global Water Crisis</w:t>
      </w:r>
    </w:p>
    <w:p>
      <w:pPr>
        <w:spacing w:after="120" w:before="80"/>
        <w:jc w:val="both"/>
      </w:pPr>
      <w:r>
        <w:rPr>
          <w:rFonts w:ascii="Arial" w:cs="Arial" w:eastAsia="Arial" w:hAnsi="Arial"/>
          <w:color w:val="1C2A36"/>
          <w:sz w:val="22"/>
          <w:szCs w:val="22"/>
        </w:rPr>
        <w:t xml:space="preserve">Water scarcity, contamination, and inequitable distribution represent an escalating global emergency. According to the World Health Organization (WHO), approximately 2.2 billion people currently lack access to safely managed drinking water services. Rapid urbanization, climate change, industrial pollution, and aging infrastructure compound these challenges in both developing and developed nations.</w:t>
      </w:r>
    </w:p>
    <w:p>
      <w:pPr>
        <w:spacing w:after="120" w:before="80"/>
        <w:jc w:val="both"/>
      </w:pPr>
      <w:r>
        <w:rPr>
          <w:rFonts w:ascii="Arial" w:cs="Arial" w:eastAsia="Arial" w:hAnsi="Arial"/>
          <w:color w:val="1C2A36"/>
          <w:sz w:val="22"/>
          <w:szCs w:val="22"/>
        </w:rPr>
        <w:t xml:space="preserve">In many cities across the Global South — and increasingly in parts of the Global North — municipal water supplies are compromised by elevated levels of arsenic, lead, nitrates, fluoride, biological pathogens, and microplastics. The health consequences of consuming contaminated water are severe and far-reaching, contributing to preventable illness, mortality, reduced economic productivity, and profound social inequity.</w:t>
      </w:r>
    </w:p>
    <w:p>
      <w:pPr>
        <w:pStyle w:val="Heading2"/>
        <w:spacing w:after="120" w:before="280"/>
      </w:pPr>
      <w:r>
        <w:rPr>
          <w:rFonts w:ascii="Arial" w:cs="Arial" w:eastAsia="Arial" w:hAnsi="Arial"/>
          <w:b/>
          <w:bCs/>
          <w:color w:val="2E75B6"/>
          <w:sz w:val="28"/>
          <w:szCs w:val="28"/>
        </w:rPr>
        <w:t xml:space="preserve">1.2  Urbanization Pressures</w:t>
      </w:r>
    </w:p>
    <w:p>
      <w:pPr>
        <w:spacing w:after="120" w:before="80"/>
        <w:jc w:val="both"/>
      </w:pPr>
      <w:r>
        <w:rPr>
          <w:rFonts w:ascii="Arial" w:cs="Arial" w:eastAsia="Arial" w:hAnsi="Arial"/>
          <w:color w:val="1C2A36"/>
          <w:sz w:val="22"/>
          <w:szCs w:val="22"/>
        </w:rPr>
        <w:t xml:space="preserve">The United Nations projects that 68% of the world's population will live in urban areas by 2050, up from 55% today. This demographic shift places enormous strain on existing water supply infrastructure. Secondary cities and rapidly growing urban peripheries are particularly vulnerable, often lacking the investment and technical capacity to meet the water demands of expanding populations.</w:t>
      </w:r>
    </w:p>
    <w:p>
      <w:pPr>
        <w:pStyle w:val="ListParagraph"/>
        <w:numPr>
          <w:ilvl w:val="0"/>
          <w:numId w:val="2"/>
        </w:numPr>
        <w:spacing w:after="60" w:before="60"/>
      </w:pPr>
      <w:r>
        <w:rPr>
          <w:rFonts w:ascii="Arial" w:cs="Arial" w:eastAsia="Arial" w:hAnsi="Arial"/>
          <w:color w:val="1C2A36"/>
          <w:sz w:val="22"/>
          <w:szCs w:val="22"/>
        </w:rPr>
        <w:t xml:space="preserve">Increased demand for potable water in high-density residential zones</w:t>
      </w:r>
    </w:p>
    <w:p>
      <w:pPr>
        <w:pStyle w:val="ListParagraph"/>
        <w:numPr>
          <w:ilvl w:val="0"/>
          <w:numId w:val="2"/>
        </w:numPr>
        <w:spacing w:after="60" w:before="60"/>
      </w:pPr>
      <w:r>
        <w:rPr>
          <w:rFonts w:ascii="Arial" w:cs="Arial" w:eastAsia="Arial" w:hAnsi="Arial"/>
          <w:color w:val="1C2A36"/>
          <w:sz w:val="22"/>
          <w:szCs w:val="22"/>
        </w:rPr>
        <w:t xml:space="preserve">Groundwater depletion due to over-extraction and reduced recharge rates</w:t>
      </w:r>
    </w:p>
    <w:p>
      <w:pPr>
        <w:pStyle w:val="ListParagraph"/>
        <w:numPr>
          <w:ilvl w:val="0"/>
          <w:numId w:val="2"/>
        </w:numPr>
        <w:spacing w:after="60" w:before="60"/>
      </w:pPr>
      <w:r>
        <w:rPr>
          <w:rFonts w:ascii="Arial" w:cs="Arial" w:eastAsia="Arial" w:hAnsi="Arial"/>
          <w:color w:val="1C2A36"/>
          <w:sz w:val="22"/>
          <w:szCs w:val="22"/>
        </w:rPr>
        <w:t xml:space="preserve">Contamination of surface water sources from industrial discharge and agricultural runoff</w:t>
      </w:r>
    </w:p>
    <w:p>
      <w:pPr>
        <w:pStyle w:val="ListParagraph"/>
        <w:numPr>
          <w:ilvl w:val="0"/>
          <w:numId w:val="2"/>
        </w:numPr>
        <w:spacing w:after="60" w:before="60"/>
      </w:pPr>
      <w:r>
        <w:rPr>
          <w:rFonts w:ascii="Arial" w:cs="Arial" w:eastAsia="Arial" w:hAnsi="Arial"/>
          <w:color w:val="1C2A36"/>
          <w:sz w:val="22"/>
          <w:szCs w:val="22"/>
        </w:rPr>
        <w:t xml:space="preserve">Deteriorating municipal pipe networks causing secondary contamination</w:t>
      </w:r>
    </w:p>
    <w:p>
      <w:pPr>
        <w:pStyle w:val="ListParagraph"/>
        <w:numPr>
          <w:ilvl w:val="0"/>
          <w:numId w:val="2"/>
        </w:numPr>
        <w:spacing w:after="60" w:before="60"/>
      </w:pPr>
      <w:r>
        <w:rPr>
          <w:rFonts w:ascii="Arial" w:cs="Arial" w:eastAsia="Arial" w:hAnsi="Arial"/>
          <w:color w:val="1C2A36"/>
          <w:sz w:val="22"/>
          <w:szCs w:val="22"/>
        </w:rPr>
        <w:t xml:space="preserve">Climate-induced changes in precipitation patterns affecting reservoir levels</w:t>
      </w:r>
    </w:p>
    <w:p>
      <w:pPr>
        <w:pStyle w:val="Heading2"/>
        <w:spacing w:after="120" w:before="280"/>
      </w:pPr>
      <w:r>
        <w:rPr>
          <w:rFonts w:ascii="Arial" w:cs="Arial" w:eastAsia="Arial" w:hAnsi="Arial"/>
          <w:b/>
          <w:bCs/>
          <w:color w:val="2E75B6"/>
          <w:sz w:val="28"/>
          <w:szCs w:val="28"/>
        </w:rPr>
        <w:t xml:space="preserve">1.3  Project Rationale</w:t>
      </w:r>
    </w:p>
    <w:p>
      <w:pPr>
        <w:spacing w:after="120" w:before="80"/>
        <w:jc w:val="both"/>
      </w:pPr>
      <w:r>
        <w:rPr>
          <w:rFonts w:ascii="Arial" w:cs="Arial" w:eastAsia="Arial" w:hAnsi="Arial"/>
          <w:color w:val="1C2A36"/>
          <w:sz w:val="22"/>
          <w:szCs w:val="22"/>
        </w:rPr>
        <w:t xml:space="preserve">Reverse Osmosis technology presents a technically sound, scalable, and cost-competitive solution to address these challenges. Unlike traditional chlorination or simple filtration methods, RO systems remove a broad spectrum of contaminants at the molecular level, producing water that consistently meets or exceeds WHO and national drinking water standards. This project proposes a strategic framework for deploying RO infrastructure at community and municipal scales, with an emphasis on sustainability, affordability, and long-term resilience.</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2. Technology Overview: Reverse Osmosis</w:t>
      </w:r>
    </w:p>
    <w:p>
      <w:pPr>
        <w:pStyle w:val="Heading2"/>
        <w:spacing w:after="120" w:before="280"/>
      </w:pPr>
      <w:r>
        <w:rPr>
          <w:rFonts w:ascii="Arial" w:cs="Arial" w:eastAsia="Arial" w:hAnsi="Arial"/>
          <w:b/>
          <w:bCs/>
          <w:color w:val="2E75B6"/>
          <w:sz w:val="28"/>
          <w:szCs w:val="28"/>
        </w:rPr>
        <w:t xml:space="preserve">2.1  The Science of Reverse Osmosis</w:t>
      </w:r>
    </w:p>
    <w:p>
      <w:pPr>
        <w:spacing w:after="120" w:before="80"/>
        <w:jc w:val="both"/>
      </w:pPr>
      <w:r>
        <w:rPr>
          <w:rFonts w:ascii="Arial" w:cs="Arial" w:eastAsia="Arial" w:hAnsi="Arial"/>
          <w:color w:val="1C2A36"/>
          <w:sz w:val="22"/>
          <w:szCs w:val="22"/>
        </w:rPr>
        <w:t xml:space="preserve">Osmosis is a naturally occurring process in which water molecules move across a semi-permeable membrane from an area of lower solute concentration to an area of higher solute concentration, seeking equilibrium. Reverse Osmosis (RO) is the engineered application of pressure to reverse this natural flow — forcing contaminated water through a membrane against the osmotic gradient, separating pure water molecules from dissolved salts, contaminants, and other impurities.</w:t>
      </w:r>
    </w:p>
    <w:p>
      <w:pPr>
        <w:spacing w:after="120" w:before="80"/>
        <w:jc w:val="both"/>
      </w:pPr>
      <w:r>
        <w:rPr>
          <w:rFonts w:ascii="Arial" w:cs="Arial" w:eastAsia="Arial" w:hAnsi="Arial"/>
          <w:color w:val="1C2A36"/>
          <w:sz w:val="22"/>
          <w:szCs w:val="22"/>
        </w:rPr>
        <w:t xml:space="preserve">An RO membrane typically contains pores of approximately 0.0001 microns in diameter, small enough to block bacteria, viruses, heavy metals, dissolved minerals, and organic compounds while allowing only water molecules (H₂O) to pass through. The reject stream (brine or concentrate) is discharged separately, while the permeate (purified water) is collected for distribution.</w:t>
      </w:r>
    </w:p>
    <w:p>
      <w:pPr>
        <w:pStyle w:val="Heading2"/>
        <w:spacing w:after="120" w:before="280"/>
      </w:pPr>
      <w:r>
        <w:rPr>
          <w:rFonts w:ascii="Arial" w:cs="Arial" w:eastAsia="Arial" w:hAnsi="Arial"/>
          <w:b/>
          <w:bCs/>
          <w:color w:val="2E75B6"/>
          <w:sz w:val="28"/>
          <w:szCs w:val="28"/>
        </w:rPr>
        <w:t xml:space="preserve">2.2  Key System Components</w:t>
      </w:r>
    </w:p>
    <w:p>
      <w:pPr>
        <w:spacing w:after="120" w:before="80"/>
        <w:jc w:val="left"/>
      </w:pPr>
      <w:r>
        <w:rPr>
          <w:rFonts w:ascii="Arial" w:cs="Arial" w:eastAsia="Arial" w:hAnsi="Arial"/>
          <w:color w:val="1C2A36"/>
          <w:sz w:val="22"/>
          <w:szCs w:val="22"/>
        </w:rPr>
        <w:t xml:space="preserve">A complete municipal-grade RO water treatment system consists of the following primary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100"/>
      </w:tblGrid>
      <w:t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Component</w:t>
            </w:r>
          </w:p>
        </w:tc>
        <w:tc>
          <w:tcPr>
            <w:tcW w:type="dxa" w:w="32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Function</w:t>
            </w:r>
          </w:p>
        </w:tc>
        <w:tc>
          <w:tcPr>
            <w:tcW w:type="dxa" w:w="41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Specification (Municipal Scale)</w:t>
            </w:r>
          </w:p>
        </w:tc>
      </w:tr>
      <w:tr>
        <w:tc>
          <w:tcPr>
            <w:tcW w:type="dxa" w:w="20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Pre-Treatment Unit</w:t>
            </w:r>
          </w:p>
        </w:tc>
        <w:tc>
          <w:tcPr>
            <w:tcW w:type="dxa" w:w="32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Removes suspended solids, chlorine, and organic matter prior to the membrane stage</w:t>
            </w:r>
          </w:p>
        </w:tc>
        <w:tc>
          <w:tcPr>
            <w:tcW w:type="dxa" w:w="41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Multi-media filtration, activated carbon, anti-scalant dosing</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High-Pressure Pumps</w:t>
            </w:r>
          </w:p>
        </w:tc>
        <w:tc>
          <w:tcPr>
            <w:tcW w:type="dxa" w:w="32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Supplies the operating pressure (150–600 PSI) required to drive water through the membrane</w:t>
            </w:r>
          </w:p>
        </w:tc>
        <w:tc>
          <w:tcPr>
            <w:tcW w:type="dxa" w:w="41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Variable-speed drives, stainless steel construction, 5–10 bar capacity</w:t>
            </w:r>
          </w:p>
        </w:tc>
      </w:tr>
      <w:tr>
        <w:tc>
          <w:tcPr>
            <w:tcW w:type="dxa" w:w="20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RO Membrane Array</w:t>
            </w:r>
          </w:p>
        </w:tc>
        <w:tc>
          <w:tcPr>
            <w:tcW w:type="dxa" w:w="32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Core filtration element; removes 95–99% of dissolved solids and contaminants</w:t>
            </w:r>
          </w:p>
        </w:tc>
        <w:tc>
          <w:tcPr>
            <w:tcW w:type="dxa" w:w="41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Thin-film composite (TFC) polyamide; 4–16 inch diameter; 8 ft modules</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Energy Recovery Devices</w:t>
            </w:r>
          </w:p>
        </w:tc>
        <w:tc>
          <w:tcPr>
            <w:tcW w:type="dxa" w:w="32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Recaptures hydraulic energy from the high-pressure reject stream</w:t>
            </w:r>
          </w:p>
        </w:tc>
        <w:tc>
          <w:tcPr>
            <w:tcW w:type="dxa" w:w="41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Pressure exchangers; up to 60% energy recovery at large scale</w:t>
            </w:r>
          </w:p>
        </w:tc>
      </w:tr>
      <w:tr>
        <w:tc>
          <w:tcPr>
            <w:tcW w:type="dxa" w:w="20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Post-Treatment System</w:t>
            </w:r>
          </w:p>
        </w:tc>
        <w:tc>
          <w:tcPr>
            <w:tcW w:type="dxa" w:w="32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pH adjustment, remineralization, disinfection of permeate water</w:t>
            </w:r>
          </w:p>
        </w:tc>
        <w:tc>
          <w:tcPr>
            <w:tcW w:type="dxa" w:w="41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Calcium addition, UV disinfection, chloramination for residual protection</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SCADA Monitoring</w:t>
            </w:r>
          </w:p>
        </w:tc>
        <w:tc>
          <w:tcPr>
            <w:tcW w:type="dxa" w:w="32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Continuous real-time monitoring of flow, pressure, TDS, and system performance</w:t>
            </w:r>
          </w:p>
        </w:tc>
        <w:tc>
          <w:tcPr>
            <w:tcW w:type="dxa" w:w="41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IoT-enabled sensors, cloud data logging, automated alerts</w:t>
            </w:r>
          </w:p>
        </w:tc>
      </w:tr>
      <w:tr>
        <w:tc>
          <w:tcPr>
            <w:tcW w:type="dxa" w:w="20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Reject Water Management</w:t>
            </w:r>
          </w:p>
        </w:tc>
        <w:tc>
          <w:tcPr>
            <w:tcW w:type="dxa" w:w="32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Safe disposal or beneficial reuse of brine concentrate</w:t>
            </w:r>
          </w:p>
        </w:tc>
        <w:tc>
          <w:tcPr>
            <w:tcW w:type="dxa" w:w="41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Evaporation ponds, industrial reuse, or dilution to watercourse</w:t>
            </w:r>
          </w:p>
        </w:tc>
      </w:tr>
    </w:tbl>
    <w:p>
      <w:pPr>
        <w:spacing w:after="0" w:before="200"/>
      </w:pPr>
    </w:p>
    <w:p>
      <w:pPr>
        <w:pStyle w:val="Heading2"/>
        <w:spacing w:after="120" w:before="280"/>
      </w:pPr>
      <w:r>
        <w:rPr>
          <w:rFonts w:ascii="Arial" w:cs="Arial" w:eastAsia="Arial" w:hAnsi="Arial"/>
          <w:b/>
          <w:bCs/>
          <w:color w:val="2E75B6"/>
          <w:sz w:val="28"/>
          <w:szCs w:val="28"/>
        </w:rPr>
        <w:t xml:space="preserve">2.3  Performance Characteristics</w:t>
      </w:r>
    </w:p>
    <w:p>
      <w:pPr>
        <w:spacing w:after="120" w:before="80"/>
        <w:jc w:val="left"/>
      </w:pPr>
      <w:r>
        <w:rPr>
          <w:rFonts w:ascii="Arial" w:cs="Arial" w:eastAsia="Arial" w:hAnsi="Arial"/>
          <w:color w:val="1C2A36"/>
          <w:sz w:val="22"/>
          <w:szCs w:val="22"/>
        </w:rPr>
        <w:t xml:space="preserve">RO systems deployed at municipal scale exhibit the following operational characteristics:</w:t>
      </w:r>
    </w:p>
    <w:p>
      <w:pPr>
        <w:pStyle w:val="ListParagraph"/>
        <w:numPr>
          <w:ilvl w:val="0"/>
          <w:numId w:val="2"/>
        </w:numPr>
        <w:spacing w:after="60" w:before="60"/>
      </w:pPr>
      <w:r>
        <w:rPr>
          <w:rFonts w:ascii="Arial" w:cs="Arial" w:eastAsia="Arial" w:hAnsi="Arial"/>
          <w:color w:val="1C2A36"/>
          <w:sz w:val="22"/>
          <w:szCs w:val="22"/>
        </w:rPr>
        <w:t xml:space="preserve">Total Dissolved Solids (TDS) reduction:</w:t>
      </w:r>
      <w:r>
        <w:rPr>
          <w:rFonts w:ascii="Arial" w:cs="Arial" w:eastAsia="Arial" w:hAnsi="Arial"/>
          <w:color w:val="4A5568"/>
          <w:sz w:val="20"/>
          <w:szCs w:val="20"/>
        </w:rPr>
        <w:t xml:space="preserve"> 95–99% depending on membrane configuration and source water quality</w:t>
      </w:r>
    </w:p>
    <w:p>
      <w:pPr>
        <w:pStyle w:val="ListParagraph"/>
        <w:numPr>
          <w:ilvl w:val="0"/>
          <w:numId w:val="2"/>
        </w:numPr>
        <w:spacing w:after="60" w:before="60"/>
      </w:pPr>
      <w:r>
        <w:rPr>
          <w:rFonts w:ascii="Arial" w:cs="Arial" w:eastAsia="Arial" w:hAnsi="Arial"/>
          <w:color w:val="1C2A36"/>
          <w:sz w:val="22"/>
          <w:szCs w:val="22"/>
        </w:rPr>
        <w:t xml:space="preserve">Pathogen removal:</w:t>
      </w:r>
      <w:r>
        <w:rPr>
          <w:rFonts w:ascii="Arial" w:cs="Arial" w:eastAsia="Arial" w:hAnsi="Arial"/>
          <w:color w:val="4A5568"/>
          <w:sz w:val="20"/>
          <w:szCs w:val="20"/>
        </w:rPr>
        <w:t xml:space="preserve"> Log 6 reduction (99.9999%) for bacteria; Log 4 (99.99%) for viruses</w:t>
      </w:r>
    </w:p>
    <w:p>
      <w:pPr>
        <w:pStyle w:val="ListParagraph"/>
        <w:numPr>
          <w:ilvl w:val="0"/>
          <w:numId w:val="2"/>
        </w:numPr>
        <w:spacing w:after="60" w:before="60"/>
      </w:pPr>
      <w:r>
        <w:rPr>
          <w:rFonts w:ascii="Arial" w:cs="Arial" w:eastAsia="Arial" w:hAnsi="Arial"/>
          <w:color w:val="1C2A36"/>
          <w:sz w:val="22"/>
          <w:szCs w:val="22"/>
        </w:rPr>
        <w:t xml:space="preserve">Heavy metal removal:</w:t>
      </w:r>
      <w:r>
        <w:rPr>
          <w:rFonts w:ascii="Arial" w:cs="Arial" w:eastAsia="Arial" w:hAnsi="Arial"/>
          <w:color w:val="4A5568"/>
          <w:sz w:val="20"/>
          <w:szCs w:val="20"/>
        </w:rPr>
        <w:t xml:space="preserve"> &gt;95% for lead, arsenic, cadmium, chromium, and mercury</w:t>
      </w:r>
    </w:p>
    <w:p>
      <w:pPr>
        <w:pStyle w:val="ListParagraph"/>
        <w:numPr>
          <w:ilvl w:val="0"/>
          <w:numId w:val="2"/>
        </w:numPr>
        <w:spacing w:after="60" w:before="60"/>
      </w:pPr>
      <w:r>
        <w:rPr>
          <w:rFonts w:ascii="Arial" w:cs="Arial" w:eastAsia="Arial" w:hAnsi="Arial"/>
          <w:color w:val="1C2A36"/>
          <w:sz w:val="22"/>
          <w:szCs w:val="22"/>
        </w:rPr>
        <w:t xml:space="preserve">Microplastic removal:</w:t>
      </w:r>
      <w:r>
        <w:rPr>
          <w:rFonts w:ascii="Arial" w:cs="Arial" w:eastAsia="Arial" w:hAnsi="Arial"/>
          <w:color w:val="4A5568"/>
          <w:sz w:val="20"/>
          <w:szCs w:val="20"/>
        </w:rPr>
        <w:t xml:space="preserve"> &gt;99% for particles &gt;0.001 microns</w:t>
      </w:r>
    </w:p>
    <w:p>
      <w:pPr>
        <w:pStyle w:val="ListParagraph"/>
        <w:numPr>
          <w:ilvl w:val="0"/>
          <w:numId w:val="2"/>
        </w:numPr>
        <w:spacing w:after="60" w:before="60"/>
      </w:pPr>
      <w:r>
        <w:rPr>
          <w:rFonts w:ascii="Arial" w:cs="Arial" w:eastAsia="Arial" w:hAnsi="Arial"/>
          <w:color w:val="1C2A36"/>
          <w:sz w:val="22"/>
          <w:szCs w:val="22"/>
        </w:rPr>
        <w:t xml:space="preserve">Nitrate removal:</w:t>
      </w:r>
      <w:r>
        <w:rPr>
          <w:rFonts w:ascii="Arial" w:cs="Arial" w:eastAsia="Arial" w:hAnsi="Arial"/>
          <w:color w:val="4A5568"/>
          <w:sz w:val="20"/>
          <w:szCs w:val="20"/>
        </w:rPr>
        <w:t xml:space="preserve"> 70–90% with standard polyamide membranes</w:t>
      </w:r>
    </w:p>
    <w:p>
      <w:pPr>
        <w:pStyle w:val="ListParagraph"/>
        <w:numPr>
          <w:ilvl w:val="0"/>
          <w:numId w:val="2"/>
        </w:numPr>
        <w:spacing w:after="60" w:before="60"/>
      </w:pPr>
      <w:r>
        <w:rPr>
          <w:rFonts w:ascii="Arial" w:cs="Arial" w:eastAsia="Arial" w:hAnsi="Arial"/>
          <w:color w:val="1C2A36"/>
          <w:sz w:val="22"/>
          <w:szCs w:val="22"/>
        </w:rPr>
        <w:t xml:space="preserve">Fluoride removal:</w:t>
      </w:r>
      <w:r>
        <w:rPr>
          <w:rFonts w:ascii="Arial" w:cs="Arial" w:eastAsia="Arial" w:hAnsi="Arial"/>
          <w:color w:val="4A5568"/>
          <w:sz w:val="20"/>
          <w:szCs w:val="20"/>
        </w:rPr>
        <w:t xml:space="preserve"> 85–95% at optimized operating pressures</w:t>
      </w:r>
    </w:p>
    <w:p>
      <w:pPr>
        <w:pStyle w:val="ListParagraph"/>
        <w:numPr>
          <w:ilvl w:val="0"/>
          <w:numId w:val="2"/>
        </w:numPr>
        <w:spacing w:after="60" w:before="60"/>
      </w:pPr>
      <w:r>
        <w:rPr>
          <w:rFonts w:ascii="Arial" w:cs="Arial" w:eastAsia="Arial" w:hAnsi="Arial"/>
          <w:color w:val="1C2A36"/>
          <w:sz w:val="22"/>
          <w:szCs w:val="22"/>
        </w:rPr>
        <w:t xml:space="preserve">System recovery rate:</w:t>
      </w:r>
      <w:r>
        <w:rPr>
          <w:rFonts w:ascii="Arial" w:cs="Arial" w:eastAsia="Arial" w:hAnsi="Arial"/>
          <w:color w:val="4A5568"/>
          <w:sz w:val="20"/>
          <w:szCs w:val="20"/>
        </w:rPr>
        <w:t xml:space="preserve"> 50–85% product water yield (optimized through energy recovery systems)</w:t>
      </w:r>
    </w:p>
    <w:p>
      <w:pPr>
        <w:pStyle w:val="Heading2"/>
        <w:spacing w:after="120" w:before="280"/>
      </w:pPr>
      <w:r>
        <w:rPr>
          <w:rFonts w:ascii="Arial" w:cs="Arial" w:eastAsia="Arial" w:hAnsi="Arial"/>
          <w:b/>
          <w:bCs/>
          <w:color w:val="2E75B6"/>
          <w:sz w:val="28"/>
          <w:szCs w:val="28"/>
        </w:rPr>
        <w:t xml:space="preserve">2.4  Comparative Technology Assessment</w:t>
      </w:r>
    </w:p>
    <w:p>
      <w:pPr>
        <w:spacing w:after="120" w:before="80"/>
        <w:jc w:val="left"/>
      </w:pPr>
      <w:r>
        <w:rPr>
          <w:rFonts w:ascii="Arial" w:cs="Arial" w:eastAsia="Arial" w:hAnsi="Arial"/>
          <w:color w:val="1C2A36"/>
          <w:sz w:val="22"/>
          <w:szCs w:val="22"/>
        </w:rPr>
        <w:t xml:space="preserve">The following table benchmarks RO against common alternative water treatment technologies on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40"/>
        <w:gridCol w:w="1520"/>
        <w:gridCol w:w="1500"/>
        <w:gridCol w:w="1500"/>
      </w:tblGrid>
      <w:t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Technology</w:t>
            </w:r>
          </w:p>
        </w:tc>
        <w:tc>
          <w:tcPr>
            <w:tcW w:type="dxa" w:w="1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Pathogen Removal</w:t>
            </w:r>
          </w:p>
        </w:tc>
        <w:tc>
          <w:tcPr>
            <w:tcW w:type="dxa" w:w="144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Heavy Metals</w:t>
            </w:r>
          </w:p>
        </w:tc>
        <w:tc>
          <w:tcPr>
            <w:tcW w:type="dxa" w:w="152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Dissolved Salts</w:t>
            </w:r>
          </w:p>
        </w:tc>
        <w:tc>
          <w:tcPr>
            <w:tcW w:type="dxa" w:w="15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Scalability</w:t>
            </w:r>
          </w:p>
        </w:tc>
        <w:tc>
          <w:tcPr>
            <w:tcW w:type="dxa" w:w="15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Cost Index</w:t>
            </w:r>
          </w:p>
        </w:tc>
      </w:tr>
      <w:tr>
        <w:tc>
          <w:tcPr>
            <w:tcW w:type="dxa" w:w="20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center"/>
            </w:pPr>
            <w:r>
              <w:rPr>
                <w:rFonts w:ascii="Arial" w:cs="Arial" w:eastAsia="Arial" w:hAnsi="Arial"/>
                <w:b/>
                <w:bCs/>
                <w:color w:val="1A3A5C"/>
                <w:sz w:val="21"/>
                <w:szCs w:val="21"/>
              </w:rPr>
              <w:t xml:space="preserve">Reverse Osmosis</w:t>
            </w:r>
          </w:p>
        </w:tc>
        <w:tc>
          <w:tcPr>
            <w:tcW w:type="dxa" w:w="1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99.9%+</w:t>
            </w:r>
          </w:p>
        </w:tc>
        <w:tc>
          <w:tcPr>
            <w:tcW w:type="dxa" w:w="144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95–99%</w:t>
            </w:r>
          </w:p>
        </w:tc>
        <w:tc>
          <w:tcPr>
            <w:tcW w:type="dxa" w:w="15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95–99%</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High</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1C2A36"/>
                <w:sz w:val="21"/>
                <w:szCs w:val="21"/>
              </w:rPr>
              <w:t xml:space="preserve">Chlorination</w:t>
            </w:r>
          </w:p>
        </w:tc>
        <w:tc>
          <w:tcPr>
            <w:tcW w:type="dxa" w:w="14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High</w:t>
            </w:r>
          </w:p>
        </w:tc>
        <w:tc>
          <w:tcPr>
            <w:tcW w:type="dxa" w:w="144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None</w:t>
            </w:r>
          </w:p>
        </w:tc>
        <w:tc>
          <w:tcPr>
            <w:tcW w:type="dxa" w:w="15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None</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High</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Low</w:t>
            </w:r>
          </w:p>
        </w:tc>
      </w:tr>
      <w:tr>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1C2A36"/>
                <w:sz w:val="21"/>
                <w:szCs w:val="21"/>
              </w:rPr>
              <w:t xml:space="preserve">UV Disinfection</w:t>
            </w:r>
          </w:p>
        </w:tc>
        <w:tc>
          <w:tcPr>
            <w:tcW w:type="dxa" w:w="1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99.9%+</w:t>
            </w:r>
          </w:p>
        </w:tc>
        <w:tc>
          <w:tcPr>
            <w:tcW w:type="dxa" w:w="144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None</w:t>
            </w:r>
          </w:p>
        </w:tc>
        <w:tc>
          <w:tcPr>
            <w:tcW w:type="dxa" w:w="15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None</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Low-Med</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1C2A36"/>
                <w:sz w:val="21"/>
                <w:szCs w:val="21"/>
              </w:rPr>
              <w:t xml:space="preserve">Nanofiltration</w:t>
            </w:r>
          </w:p>
        </w:tc>
        <w:tc>
          <w:tcPr>
            <w:tcW w:type="dxa" w:w="14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High</w:t>
            </w:r>
          </w:p>
        </w:tc>
        <w:tc>
          <w:tcPr>
            <w:tcW w:type="dxa" w:w="144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50–70%</w:t>
            </w:r>
          </w:p>
        </w:tc>
        <w:tc>
          <w:tcPr>
            <w:tcW w:type="dxa" w:w="15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50–80%</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r>
      <w:tr>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1C2A36"/>
                <w:sz w:val="21"/>
                <w:szCs w:val="21"/>
              </w:rPr>
              <w:t xml:space="preserve">Ultrafiltration</w:t>
            </w:r>
          </w:p>
        </w:tc>
        <w:tc>
          <w:tcPr>
            <w:tcW w:type="dxa" w:w="14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99%+</w:t>
            </w:r>
          </w:p>
        </w:tc>
        <w:tc>
          <w:tcPr>
            <w:tcW w:type="dxa" w:w="144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Low</w:t>
            </w:r>
          </w:p>
        </w:tc>
        <w:tc>
          <w:tcPr>
            <w:tcW w:type="dxa" w:w="15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None</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High</w:t>
            </w:r>
          </w:p>
        </w:tc>
        <w:tc>
          <w:tcPr>
            <w:tcW w:type="dxa" w:w="15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w:t>
            </w:r>
          </w:p>
        </w:tc>
      </w:tr>
      <w:tr>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1C2A36"/>
                <w:sz w:val="21"/>
                <w:szCs w:val="21"/>
              </w:rPr>
              <w:t xml:space="preserve">Activated Carbon</w:t>
            </w:r>
          </w:p>
        </w:tc>
        <w:tc>
          <w:tcPr>
            <w:tcW w:type="dxa" w:w="14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c>
          <w:tcPr>
            <w:tcW w:type="dxa" w:w="144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Moderate</w:t>
            </w:r>
          </w:p>
        </w:tc>
        <w:tc>
          <w:tcPr>
            <w:tcW w:type="dxa" w:w="15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Low</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Medium</w:t>
            </w:r>
          </w:p>
        </w:tc>
        <w:tc>
          <w:tcPr>
            <w:tcW w:type="dxa" w:w="15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Low</w:t>
            </w:r>
          </w:p>
        </w:tc>
      </w:tr>
    </w:tbl>
    <w:p>
      <w:pPr>
        <w:spacing w:after="0" w:before="3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3. Project Description &amp; Implementation Framework</w:t>
      </w:r>
    </w:p>
    <w:p>
      <w:pPr>
        <w:pStyle w:val="Heading2"/>
        <w:spacing w:after="120" w:before="280"/>
      </w:pPr>
      <w:r>
        <w:rPr>
          <w:rFonts w:ascii="Arial" w:cs="Arial" w:eastAsia="Arial" w:hAnsi="Arial"/>
          <w:b/>
          <w:bCs/>
          <w:color w:val="2E75B6"/>
          <w:sz w:val="28"/>
          <w:szCs w:val="28"/>
        </w:rPr>
        <w:t xml:space="preserve">3.1  Project Vision</w:t>
      </w:r>
    </w:p>
    <w:p>
      <w:pPr>
        <w:spacing w:after="120" w:before="80"/>
        <w:jc w:val="both"/>
      </w:pPr>
      <w:r>
        <w:rPr>
          <w:rFonts w:ascii="Arial" w:cs="Arial" w:eastAsia="Arial" w:hAnsi="Arial"/>
          <w:color w:val="1C2A36"/>
          <w:sz w:val="22"/>
          <w:szCs w:val="22"/>
        </w:rPr>
        <w:t xml:space="preserve">This project envisions a network of Reverse Osmosis water treatment facilities deployed across three tiers of urban and peri-urban communities: metropolitan hubs, secondary cities, and rural-urban interface communities. Each tier is addressed through a tailored system configuration, ensuring that technical specifications, capacity, and financial models are appropriately scaled to local needs and resources.</w:t>
      </w:r>
    </w:p>
    <w:p>
      <w:pPr>
        <w:pStyle w:val="Heading2"/>
        <w:spacing w:after="120" w:before="280"/>
      </w:pPr>
      <w:r>
        <w:rPr>
          <w:rFonts w:ascii="Arial" w:cs="Arial" w:eastAsia="Arial" w:hAnsi="Arial"/>
          <w:b/>
          <w:bCs/>
          <w:color w:val="2E75B6"/>
          <w:sz w:val="28"/>
          <w:szCs w:val="28"/>
        </w:rPr>
        <w:t xml:space="preserve">3.2  Deployment Tiers</w:t>
      </w:r>
    </w:p>
    <w:p>
      <w:pPr>
        <w:pStyle w:val="Heading3"/>
        <w:spacing w:after="80" w:before="200"/>
      </w:pPr>
      <w:r>
        <w:rPr>
          <w:rFonts w:ascii="Arial" w:cs="Arial" w:eastAsia="Arial" w:hAnsi="Arial"/>
          <w:b/>
          <w:bCs/>
          <w:color w:val="00838F"/>
          <w:sz w:val="24"/>
          <w:szCs w:val="24"/>
        </w:rPr>
        <w:t xml:space="preserve">Tier 1: Metropolitan Central Treatment Plants</w:t>
      </w:r>
    </w:p>
    <w:p>
      <w:pPr>
        <w:spacing w:after="120" w:before="80"/>
        <w:jc w:val="left"/>
      </w:pPr>
      <w:r>
        <w:rPr>
          <w:rFonts w:ascii="Arial" w:cs="Arial" w:eastAsia="Arial" w:hAnsi="Arial"/>
          <w:color w:val="1C2A36"/>
          <w:sz w:val="22"/>
          <w:szCs w:val="22"/>
        </w:rPr>
        <w:t xml:space="preserve">Large-scale RO plants (10–50 MLD capacity) integrated into existing municipal water networks, treating raw water at source before city-wide distribution. These facilities serve populations of 100,000–500,000+ and are designed for continuous 24/7 operation under SCADA-based supervision.</w:t>
      </w:r>
    </w:p>
    <w:p>
      <w:pPr>
        <w:pStyle w:val="Heading3"/>
        <w:spacing w:after="80" w:before="200"/>
      </w:pPr>
      <w:r>
        <w:rPr>
          <w:rFonts w:ascii="Arial" w:cs="Arial" w:eastAsia="Arial" w:hAnsi="Arial"/>
          <w:b/>
          <w:bCs/>
          <w:color w:val="00838F"/>
          <w:sz w:val="24"/>
          <w:szCs w:val="24"/>
        </w:rPr>
        <w:t xml:space="preserve">Tier 2: District-Level RO Hubs</w:t>
      </w:r>
    </w:p>
    <w:p>
      <w:pPr>
        <w:spacing w:after="120" w:before="80"/>
        <w:jc w:val="left"/>
      </w:pPr>
      <w:r>
        <w:rPr>
          <w:rFonts w:ascii="Arial" w:cs="Arial" w:eastAsia="Arial" w:hAnsi="Arial"/>
          <w:color w:val="1C2A36"/>
          <w:sz w:val="22"/>
          <w:szCs w:val="22"/>
        </w:rPr>
        <w:t xml:space="preserve">Mid-scale containerized or modular RO systems (500 KLD–5 MLD) positioned at strategic points within city districts. These hubs serve populations of 10,000–50,000 and can be rapidly deployed in areas underserved by centralized infrastructure.</w:t>
      </w:r>
    </w:p>
    <w:p>
      <w:pPr>
        <w:pStyle w:val="Heading3"/>
        <w:spacing w:after="80" w:before="200"/>
      </w:pPr>
      <w:r>
        <w:rPr>
          <w:rFonts w:ascii="Arial" w:cs="Arial" w:eastAsia="Arial" w:hAnsi="Arial"/>
          <w:b/>
          <w:bCs/>
          <w:color w:val="00838F"/>
          <w:sz w:val="24"/>
          <w:szCs w:val="24"/>
        </w:rPr>
        <w:t xml:space="preserve">Tier 3: Community Kiosk Networks</w:t>
      </w:r>
    </w:p>
    <w:p>
      <w:pPr>
        <w:spacing w:after="120" w:before="80"/>
        <w:jc w:val="left"/>
      </w:pPr>
      <w:r>
        <w:rPr>
          <w:rFonts w:ascii="Arial" w:cs="Arial" w:eastAsia="Arial" w:hAnsi="Arial"/>
          <w:color w:val="1C2A36"/>
          <w:sz w:val="22"/>
          <w:szCs w:val="22"/>
        </w:rPr>
        <w:t xml:space="preserve">Small-scale point-of-use RO kiosks (2,000–10,000 LPD) installed in informal settlements, schools, health centres, and community gathering points. These solar-powered units provide immediate access to purified water for the most vulnerable populations at minimal cost per litre.</w:t>
      </w:r>
    </w:p>
    <w:p>
      <w:pPr>
        <w:spacing w:after="0" w:before="160"/>
      </w:pPr>
    </w:p>
    <w:p>
      <w:pPr>
        <w:pStyle w:val="Heading2"/>
        <w:spacing w:after="120" w:before="280"/>
      </w:pPr>
      <w:r>
        <w:rPr>
          <w:rFonts w:ascii="Arial" w:cs="Arial" w:eastAsia="Arial" w:hAnsi="Arial"/>
          <w:b/>
          <w:bCs/>
          <w:color w:val="2E75B6"/>
          <w:sz w:val="28"/>
          <w:szCs w:val="28"/>
        </w:rPr>
        <w:t xml:space="preserve">3.3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Phase</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Timeline</w:t>
            </w:r>
          </w:p>
        </w:tc>
        <w:tc>
          <w:tcPr>
            <w:tcW w:type="dxa" w:w="31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Key Activities</w:t>
            </w:r>
          </w:p>
        </w:tc>
        <w:tc>
          <w:tcPr>
            <w:tcW w:type="dxa" w:w="3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Deliverables</w:t>
            </w:r>
          </w:p>
        </w:tc>
      </w:tr>
      <w:tr>
        <w:tc>
          <w:tcPr>
            <w:tcW w:type="dxa" w:w="1200"/>
            <w:tcBorders>
              <w:top w:val="single" w:color="D9DDE1" w:sz="4"/>
              <w:left w:val="single" w:color="D9DDE1" w:sz="4"/>
              <w:bottom w:val="single" w:color="D9DDE1" w:sz="4"/>
              <w:right w:val="single" w:color="D9DDE1"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1"/>
                <w:szCs w:val="21"/>
              </w:rPr>
              <w:t xml:space="preserve">01</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00838F"/>
                <w:sz w:val="21"/>
                <w:szCs w:val="21"/>
              </w:rPr>
              <w:t xml:space="preserve">Months 1–6</w:t>
            </w:r>
          </w:p>
        </w:tc>
        <w:tc>
          <w:tcPr>
            <w:tcW w:type="dxa" w:w="31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Site surveys, water quality analysis, community engagement, environmental impact assessment, procurement planning</w:t>
            </w:r>
          </w:p>
        </w:tc>
        <w:tc>
          <w:tcPr>
            <w:tcW w:type="dxa" w:w="3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Baseline data, EIA report, community needs assessment, procurement plan</w:t>
            </w:r>
          </w:p>
        </w:tc>
      </w:tr>
      <w:tr>
        <w:tc>
          <w:tcPr>
            <w:tcW w:type="dxa" w:w="1200"/>
            <w:tcBorders>
              <w:top w:val="single" w:color="D9DDE1" w:sz="4"/>
              <w:left w:val="single" w:color="D9DDE1" w:sz="4"/>
              <w:bottom w:val="single" w:color="D9DDE1" w:sz="4"/>
              <w:right w:val="single" w:color="D9DDE1"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1"/>
                <w:szCs w:val="21"/>
              </w:rPr>
              <w:t xml:space="preserve">02</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00838F"/>
                <w:sz w:val="21"/>
                <w:szCs w:val="21"/>
              </w:rPr>
              <w:t xml:space="preserve">Months 7–18</w:t>
            </w:r>
          </w:p>
        </w:tc>
        <w:tc>
          <w:tcPr>
            <w:tcW w:type="dxa" w:w="31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Civil works, equipment supply and installation, staff training, SCADA commissioning, pilot testing</w:t>
            </w:r>
          </w:p>
        </w:tc>
        <w:tc>
          <w:tcPr>
            <w:tcW w:type="dxa" w:w="3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Operational Tier-3 kiosks, pilot Tier-2 hub, trained operations team</w:t>
            </w:r>
          </w:p>
        </w:tc>
      </w:tr>
      <w:tr>
        <w:tc>
          <w:tcPr>
            <w:tcW w:type="dxa" w:w="1200"/>
            <w:tcBorders>
              <w:top w:val="single" w:color="D9DDE1" w:sz="4"/>
              <w:left w:val="single" w:color="D9DDE1" w:sz="4"/>
              <w:bottom w:val="single" w:color="D9DDE1" w:sz="4"/>
              <w:right w:val="single" w:color="D9DDE1"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1"/>
                <w:szCs w:val="21"/>
              </w:rPr>
              <w:t xml:space="preserve">03</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00838F"/>
                <w:sz w:val="21"/>
                <w:szCs w:val="21"/>
              </w:rPr>
              <w:t xml:space="preserve">Months 19–30</w:t>
            </w:r>
          </w:p>
        </w:tc>
        <w:tc>
          <w:tcPr>
            <w:tcW w:type="dxa" w:w="31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Full Tier-1 and Tier-2 deployment, integration with municipal network, public awareness campaigns</w:t>
            </w:r>
          </w:p>
        </w:tc>
        <w:tc>
          <w:tcPr>
            <w:tcW w:type="dxa" w:w="3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Full system operational, water quality certification, community uptake &gt;80%</w:t>
            </w:r>
          </w:p>
        </w:tc>
      </w:tr>
      <w:tr>
        <w:tc>
          <w:tcPr>
            <w:tcW w:type="dxa" w:w="1200"/>
            <w:tcBorders>
              <w:top w:val="single" w:color="D9DDE1" w:sz="4"/>
              <w:left w:val="single" w:color="D9DDE1" w:sz="4"/>
              <w:bottom w:val="single" w:color="D9DDE1" w:sz="4"/>
              <w:right w:val="single" w:color="D9DDE1" w:sz="4"/>
            </w:tcBorders>
            <w:shd w:fill="2E75B6" w:val="clear"/>
            <w:tcMar>
              <w:top w:type="dxa" w:w="80"/>
              <w:left w:type="dxa" w:w="150"/>
              <w:bottom w:type="dxa" w:w="80"/>
              <w:right w:type="dxa" w:w="150"/>
            </w:tcMar>
            <w:vAlign w:val="center"/>
          </w:tcPr>
          <w:p>
            <w:pPr>
              <w:jc w:val="center"/>
            </w:pPr>
            <w:r>
              <w:rPr>
                <w:rFonts w:ascii="Arial" w:cs="Arial" w:eastAsia="Arial" w:hAnsi="Arial"/>
                <w:b/>
                <w:bCs/>
                <w:color w:val="FFFFFF"/>
                <w:sz w:val="21"/>
                <w:szCs w:val="21"/>
              </w:rPr>
              <w:t xml:space="preserve">04</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00838F"/>
                <w:sz w:val="21"/>
                <w:szCs w:val="21"/>
              </w:rPr>
              <w:t xml:space="preserve">Month 31+</w:t>
            </w:r>
          </w:p>
        </w:tc>
        <w:tc>
          <w:tcPr>
            <w:tcW w:type="dxa" w:w="31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A36"/>
                <w:sz w:val="21"/>
                <w:szCs w:val="21"/>
              </w:rPr>
              <w:t xml:space="preserve">Ongoing O&amp;M, performance monitoring, system optimisation, knowledge transfer, replication to new cities</w:t>
            </w:r>
          </w:p>
        </w:tc>
        <w:tc>
          <w:tcPr>
            <w:tcW w:type="dxa" w:w="3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Annual performance reports, impact assessments, scaling roadmap</w:t>
            </w:r>
          </w:p>
        </w:tc>
      </w:tr>
    </w:tbl>
    <w:p>
      <w:pPr>
        <w:spacing w:after="0" w:before="3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4. Technical Specifications</w:t>
      </w:r>
    </w:p>
    <w:p>
      <w:pPr>
        <w:pStyle w:val="Heading2"/>
        <w:spacing w:after="120" w:before="280"/>
      </w:pPr>
      <w:r>
        <w:rPr>
          <w:rFonts w:ascii="Arial" w:cs="Arial" w:eastAsia="Arial" w:hAnsi="Arial"/>
          <w:b/>
          <w:bCs/>
          <w:color w:val="2E75B6"/>
          <w:sz w:val="28"/>
          <w:szCs w:val="28"/>
        </w:rPr>
        <w:t xml:space="preserve">4.1  Water Quality Design Standards</w:t>
      </w:r>
    </w:p>
    <w:p>
      <w:pPr>
        <w:spacing w:after="120" w:before="80"/>
        <w:jc w:val="left"/>
      </w:pPr>
      <w:r>
        <w:rPr>
          <w:rFonts w:ascii="Arial" w:cs="Arial" w:eastAsia="Arial" w:hAnsi="Arial"/>
          <w:color w:val="1C2A36"/>
          <w:sz w:val="22"/>
          <w:szCs w:val="22"/>
        </w:rPr>
        <w:t xml:space="preserve">All systems designed and operated under this project shall produce water meeting or exceeding the following standards:</w:t>
      </w:r>
    </w:p>
    <w:p>
      <w:pPr>
        <w:pStyle w:val="ListParagraph"/>
        <w:numPr>
          <w:ilvl w:val="0"/>
          <w:numId w:val="2"/>
        </w:numPr>
        <w:spacing w:after="60" w:before="60"/>
      </w:pPr>
      <w:r>
        <w:rPr>
          <w:rFonts w:ascii="Arial" w:cs="Arial" w:eastAsia="Arial" w:hAnsi="Arial"/>
          <w:color w:val="1C2A36"/>
          <w:sz w:val="22"/>
          <w:szCs w:val="22"/>
        </w:rPr>
        <w:t xml:space="preserve">WHO Guidelines for Drinking Water Quality (4th Edition, 2022)</w:t>
      </w:r>
    </w:p>
    <w:p>
      <w:pPr>
        <w:pStyle w:val="ListParagraph"/>
        <w:numPr>
          <w:ilvl w:val="0"/>
          <w:numId w:val="2"/>
        </w:numPr>
        <w:spacing w:after="60" w:before="60"/>
      </w:pPr>
      <w:r>
        <w:rPr>
          <w:rFonts w:ascii="Arial" w:cs="Arial" w:eastAsia="Arial" w:hAnsi="Arial"/>
          <w:color w:val="1C2A36"/>
          <w:sz w:val="22"/>
          <w:szCs w:val="22"/>
        </w:rPr>
        <w:t xml:space="preserve">National drinking water regulatory standards of the host country</w:t>
      </w:r>
    </w:p>
    <w:p>
      <w:pPr>
        <w:pStyle w:val="ListParagraph"/>
        <w:numPr>
          <w:ilvl w:val="0"/>
          <w:numId w:val="2"/>
        </w:numPr>
        <w:spacing w:after="60" w:before="60"/>
      </w:pPr>
      <w:r>
        <w:rPr>
          <w:rFonts w:ascii="Arial" w:cs="Arial" w:eastAsia="Arial" w:hAnsi="Arial"/>
          <w:color w:val="1C2A36"/>
          <w:sz w:val="22"/>
          <w:szCs w:val="22"/>
        </w:rPr>
        <w:t xml:space="preserve">ISO 24510 — Service Activities Relating to Drinking Water and Wastewater</w:t>
      </w:r>
    </w:p>
    <w:p>
      <w:pPr>
        <w:pStyle w:val="ListParagraph"/>
        <w:numPr>
          <w:ilvl w:val="0"/>
          <w:numId w:val="2"/>
        </w:numPr>
        <w:spacing w:after="60" w:before="60"/>
      </w:pPr>
      <w:r>
        <w:rPr>
          <w:rFonts w:ascii="Arial" w:cs="Arial" w:eastAsia="Arial" w:hAnsi="Arial"/>
          <w:color w:val="1C2A36"/>
          <w:sz w:val="22"/>
          <w:szCs w:val="22"/>
        </w:rPr>
        <w:t xml:space="preserve">NSF/ANSI 58 — Reverse Osmosis Drinking Water Treatment Systems</w:t>
      </w:r>
    </w:p>
    <w:p>
      <w:pPr>
        <w:pStyle w:val="Heading2"/>
        <w:spacing w:after="120" w:before="280"/>
      </w:pPr>
      <w:r>
        <w:rPr>
          <w:rFonts w:ascii="Arial" w:cs="Arial" w:eastAsia="Arial" w:hAnsi="Arial"/>
          <w:b/>
          <w:bCs/>
          <w:color w:val="2E75B6"/>
          <w:sz w:val="28"/>
          <w:szCs w:val="28"/>
        </w:rPr>
        <w:t xml:space="preserve">4.2  Target Permeate Water Quality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Parameter</w:t>
            </w:r>
          </w:p>
        </w:tc>
        <w:tc>
          <w:tcPr>
            <w:tcW w:type="dxa" w:w="208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WHO Guideline</w:t>
            </w:r>
          </w:p>
        </w:tc>
        <w:tc>
          <w:tcPr>
            <w:tcW w:type="dxa" w:w="208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RO Permeate (Typical)</w:t>
            </w:r>
          </w:p>
        </w:tc>
        <w:tc>
          <w:tcPr>
            <w:tcW w:type="dxa" w:w="208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Standard Met</w:t>
            </w:r>
          </w:p>
        </w:tc>
      </w:tr>
      <w:tr>
        <w:tc>
          <w:tcPr>
            <w:tcW w:type="dxa" w:w="31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Total Dissolved Solids (TDS)</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≤500 mg/L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&lt;50 mg/L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Turbidity</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≤1 NTU</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&lt;0.1 NTU</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pH</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6.5–8.5</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6.8–7.4 (adjusted)</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Within Range</w:t>
            </w:r>
          </w:p>
        </w:tc>
      </w:tr>
      <w:tr>
        <w:tc>
          <w:tcPr>
            <w:tcW w:type="dxa" w:w="31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Arsenic</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≤10 μg/L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&lt;1 μg/L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Lead</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≤10 μg/L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&lt;0.5 μg/L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Nitrates</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 mg/L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&lt;5 mg/L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Fluoride</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≤1.5 mg/L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&lt;0.2 mg/L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r>
        <w:tc>
          <w:tcPr>
            <w:tcW w:type="dxa" w:w="312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E. coli</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0 CFU/100 mL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0 CFU/100 mL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Compliant</w:t>
            </w:r>
          </w:p>
        </w:tc>
      </w:tr>
      <w:tr>
        <w:tc>
          <w:tcPr>
            <w:tcW w:type="dxa" w:w="312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Microplastics</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Minimize</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2E75B6"/>
                <w:sz w:val="21"/>
                <w:szCs w:val="21"/>
              </w:rPr>
              <w:t xml:space="preserve">&lt;0.01 particles/L</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 Exceeds</w:t>
            </w:r>
          </w:p>
        </w:tc>
      </w:tr>
    </w:tbl>
    <w:p>
      <w:pPr>
        <w:spacing w:after="0" w:before="200"/>
      </w:pPr>
    </w:p>
    <w:p>
      <w:pPr>
        <w:pStyle w:val="Heading2"/>
        <w:spacing w:after="120" w:before="280"/>
      </w:pPr>
      <w:r>
        <w:rPr>
          <w:rFonts w:ascii="Arial" w:cs="Arial" w:eastAsia="Arial" w:hAnsi="Arial"/>
          <w:b/>
          <w:bCs/>
          <w:color w:val="2E75B6"/>
          <w:sz w:val="28"/>
          <w:szCs w:val="28"/>
        </w:rPr>
        <w:t xml:space="preserve">4.3  Energy Efficiency &amp; Sustainability</w:t>
      </w:r>
    </w:p>
    <w:p>
      <w:pPr>
        <w:spacing w:after="120" w:before="80"/>
        <w:jc w:val="both"/>
      </w:pPr>
      <w:r>
        <w:rPr>
          <w:rFonts w:ascii="Arial" w:cs="Arial" w:eastAsia="Arial" w:hAnsi="Arial"/>
          <w:color w:val="1C2A36"/>
          <w:sz w:val="22"/>
          <w:szCs w:val="22"/>
        </w:rPr>
        <w:t xml:space="preserve">Energy consumption represents the largest operational cost driver for RO systems. This project integrates several strategies to minimize energy intensity and align with climate commitments:</w:t>
      </w:r>
    </w:p>
    <w:p>
      <w:pPr>
        <w:pStyle w:val="ListParagraph"/>
        <w:numPr>
          <w:ilvl w:val="0"/>
          <w:numId w:val="2"/>
        </w:numPr>
        <w:spacing w:after="60" w:before="60"/>
      </w:pPr>
      <w:r>
        <w:rPr>
          <w:rFonts w:ascii="Arial" w:cs="Arial" w:eastAsia="Arial" w:hAnsi="Arial"/>
          <w:color w:val="1C2A36"/>
          <w:sz w:val="22"/>
          <w:szCs w:val="22"/>
        </w:rPr>
        <w:t xml:space="preserve">Pressure exchangers (ERDs) with up to 98% energy transfer efficiency</w:t>
      </w:r>
    </w:p>
    <w:p>
      <w:pPr>
        <w:pStyle w:val="ListParagraph"/>
        <w:numPr>
          <w:ilvl w:val="0"/>
          <w:numId w:val="2"/>
        </w:numPr>
        <w:spacing w:after="60" w:before="60"/>
      </w:pPr>
      <w:r>
        <w:rPr>
          <w:rFonts w:ascii="Arial" w:cs="Arial" w:eastAsia="Arial" w:hAnsi="Arial"/>
          <w:color w:val="1C2A36"/>
          <w:sz w:val="22"/>
          <w:szCs w:val="22"/>
        </w:rPr>
        <w:t xml:space="preserve">Variable Frequency Drive (VFD) high-pressure pumps for load-matching</w:t>
      </w:r>
    </w:p>
    <w:p>
      <w:pPr>
        <w:pStyle w:val="ListParagraph"/>
        <w:numPr>
          <w:ilvl w:val="0"/>
          <w:numId w:val="2"/>
        </w:numPr>
        <w:spacing w:after="60" w:before="60"/>
      </w:pPr>
      <w:r>
        <w:rPr>
          <w:rFonts w:ascii="Arial" w:cs="Arial" w:eastAsia="Arial" w:hAnsi="Arial"/>
          <w:color w:val="1C2A36"/>
          <w:sz w:val="22"/>
          <w:szCs w:val="22"/>
        </w:rPr>
        <w:t xml:space="preserve">Solar photovoltaic integration for Tier-3 kiosks (off-grid or hybrid)</w:t>
      </w:r>
    </w:p>
    <w:p>
      <w:pPr>
        <w:pStyle w:val="ListParagraph"/>
        <w:numPr>
          <w:ilvl w:val="0"/>
          <w:numId w:val="2"/>
        </w:numPr>
        <w:spacing w:after="60" w:before="60"/>
      </w:pPr>
      <w:r>
        <w:rPr>
          <w:rFonts w:ascii="Arial" w:cs="Arial" w:eastAsia="Arial" w:hAnsi="Arial"/>
          <w:color w:val="1C2A36"/>
          <w:sz w:val="22"/>
          <w:szCs w:val="22"/>
        </w:rPr>
        <w:t xml:space="preserve">Smart operational scheduling to align high-load periods with renewable energy availability</w:t>
      </w:r>
    </w:p>
    <w:p>
      <w:pPr>
        <w:pStyle w:val="ListParagraph"/>
        <w:numPr>
          <w:ilvl w:val="0"/>
          <w:numId w:val="2"/>
        </w:numPr>
        <w:spacing w:after="60" w:before="60"/>
      </w:pPr>
      <w:r>
        <w:rPr>
          <w:rFonts w:ascii="Arial" w:cs="Arial" w:eastAsia="Arial" w:hAnsi="Arial"/>
          <w:color w:val="1C2A36"/>
          <w:sz w:val="22"/>
          <w:szCs w:val="22"/>
        </w:rPr>
        <w:t xml:space="preserve">Target Specific Energy Consumption (SEC): 0.4–0.6 kWh/m³ (Tier-1 plants)</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5. Alignment with UN Sustainable Development Goals</w:t>
      </w:r>
    </w:p>
    <w:p>
      <w:pPr>
        <w:spacing w:after="120" w:before="80"/>
        <w:jc w:val="both"/>
      </w:pPr>
      <w:r>
        <w:rPr>
          <w:rFonts w:ascii="Arial" w:cs="Arial" w:eastAsia="Arial" w:hAnsi="Arial"/>
          <w:color w:val="1C2A36"/>
          <w:sz w:val="22"/>
          <w:szCs w:val="22"/>
        </w:rPr>
        <w:t xml:space="preserve">The 2030 Agenda for Sustainable Development, adopted by all United Nations Member States in 2015, provides the global framework within which this project is explicitly situated. The Reverse Osmosis Water Filtration Initiative makes direct and measurable contributions to the following SDGs: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SDG</w:t>
            </w:r>
          </w:p>
        </w:tc>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Goal Title</w:t>
            </w:r>
          </w:p>
        </w:tc>
        <w:tc>
          <w:tcPr>
            <w:tcW w:type="dxa" w:w="5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Project Contribution</w:t>
            </w:r>
          </w:p>
        </w:tc>
      </w:tr>
      <w:tr>
        <w:tc>
          <w:tcPr>
            <w:tcW w:type="dxa" w:w="1200"/>
            <w:tcBorders>
              <w:top w:val="single" w:color="D9DDE1" w:sz="4"/>
              <w:left w:val="single" w:color="D9DDE1" w:sz="4"/>
              <w:bottom w:val="single" w:color="D9DDE1" w:sz="4"/>
              <w:right w:val="single" w:color="D9DDE1" w:sz="4"/>
            </w:tcBorders>
            <w:shd w:fill="1E88E5"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6</w:t>
            </w:r>
          </w:p>
        </w:tc>
        <w:tc>
          <w:tcPr>
            <w:tcW w:type="dxa" w:w="2600"/>
            <w:tcBorders>
              <w:top w:val="single" w:color="D9DDE1" w:sz="4"/>
              <w:left w:val="single" w:color="D9DDE1" w:sz="4"/>
              <w:bottom w:val="single" w:color="D9DDE1" w:sz="4"/>
              <w:right w:val="single" w:color="D9DDE1" w:sz="4"/>
            </w:tcBorders>
            <w:shd w:fill="1E88E5" w:val="clear"/>
            <w:tcMar>
              <w:top w:type="dxa" w:w="100"/>
              <w:left w:type="dxa" w:w="140"/>
              <w:bottom w:type="dxa" w:w="100"/>
              <w:right w:type="dxa" w:w="140"/>
            </w:tcMar>
            <w:vAlign w:val="center"/>
          </w:tcPr>
          <w:p>
            <w:r>
              <w:rPr>
                <w:rFonts w:ascii="Arial" w:cs="Arial" w:eastAsia="Arial" w:hAnsi="Arial"/>
                <w:b/>
                <w:bCs/>
                <w:color w:val="FFFFFF"/>
                <w:sz w:val="20"/>
                <w:szCs w:val="20"/>
              </w:rPr>
              <w:t xml:space="preserve">Clean Water &amp; Sanitation</w:t>
            </w:r>
          </w:p>
        </w:tc>
        <w:tc>
          <w:tcPr>
            <w:tcW w:type="dxa" w:w="5560"/>
            <w:tcBorders>
              <w:top w:val="single" w:color="D9DDE1" w:sz="4"/>
              <w:left w:val="single" w:color="D9DDE1" w:sz="4"/>
              <w:bottom w:val="single" w:color="D9DDE1" w:sz="4"/>
              <w:right w:val="single" w:color="D9DDE1" w:sz="4"/>
            </w:tcBorders>
            <w:shd w:fill="F4F6F8" w:val="clear"/>
            <w:tcMar>
              <w:top w:type="dxa" w:w="100"/>
              <w:left w:type="dxa" w:w="160"/>
              <w:bottom w:type="dxa" w:w="100"/>
              <w:right w:type="dxa" w:w="160"/>
            </w:tcMar>
            <w:vAlign w:val="center"/>
          </w:tcPr>
          <w:p>
            <w:r>
              <w:rPr>
                <w:rFonts w:ascii="Arial" w:cs="Arial" w:eastAsia="Arial" w:hAnsi="Arial"/>
                <w:color w:val="1C2A36"/>
                <w:sz w:val="20"/>
                <w:szCs w:val="20"/>
              </w:rPr>
              <w:t xml:space="preserve">Core alignment: Project directly delivers universal access to safe, affordable drinking water (Target 6.1); improves water quality by reducing contamination (Target 6.3); and implements integrated water resource management (Target 6.5). All project facilities monitor and report on SDG 6 indicators.</w:t>
            </w:r>
          </w:p>
        </w:tc>
      </w:tr>
      <w:tr>
        <w:tc>
          <w:tcPr>
            <w:tcW w:type="dxa" w:w="1200"/>
            <w:tcBorders>
              <w:top w:val="single" w:color="D9DDE1" w:sz="4"/>
              <w:left w:val="single" w:color="D9DDE1" w:sz="4"/>
              <w:bottom w:val="single" w:color="D9DDE1" w:sz="4"/>
              <w:right w:val="single" w:color="D9DDE1" w:sz="4"/>
            </w:tcBorders>
            <w:shd w:fill="4CAF50"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3</w:t>
            </w:r>
          </w:p>
        </w:tc>
        <w:tc>
          <w:tcPr>
            <w:tcW w:type="dxa" w:w="2600"/>
            <w:tcBorders>
              <w:top w:val="single" w:color="D9DDE1" w:sz="4"/>
              <w:left w:val="single" w:color="D9DDE1" w:sz="4"/>
              <w:bottom w:val="single" w:color="D9DDE1" w:sz="4"/>
              <w:right w:val="single" w:color="D9DDE1" w:sz="4"/>
            </w:tcBorders>
            <w:shd w:fill="4CAF50" w:val="clear"/>
            <w:tcMar>
              <w:top w:type="dxa" w:w="100"/>
              <w:left w:type="dxa" w:w="140"/>
              <w:bottom w:type="dxa" w:w="100"/>
              <w:right w:type="dxa" w:w="140"/>
            </w:tcMar>
            <w:vAlign w:val="center"/>
          </w:tcPr>
          <w:p>
            <w:r>
              <w:rPr>
                <w:rFonts w:ascii="Arial" w:cs="Arial" w:eastAsia="Arial" w:hAnsi="Arial"/>
                <w:b/>
                <w:bCs/>
                <w:color w:val="FFFFFF"/>
                <w:sz w:val="20"/>
                <w:szCs w:val="20"/>
              </w:rPr>
              <w:t xml:space="preserve">Good Health &amp; Well-being</w:t>
            </w:r>
          </w:p>
        </w:tc>
        <w:tc>
          <w:tcPr>
            <w:tcW w:type="dxa" w:w="5560"/>
            <w:tcBorders>
              <w:top w:val="single" w:color="D9DDE1" w:sz="4"/>
              <w:left w:val="single" w:color="D9DDE1" w:sz="4"/>
              <w:bottom w:val="single" w:color="D9DDE1" w:sz="4"/>
              <w:right w:val="single" w:color="D9DDE1" w:sz="4"/>
            </w:tcBorders>
            <w:shd w:fill="FFFFFF" w:val="clear"/>
            <w:tcMar>
              <w:top w:type="dxa" w:w="100"/>
              <w:left w:type="dxa" w:w="160"/>
              <w:bottom w:type="dxa" w:w="100"/>
              <w:right w:type="dxa" w:w="160"/>
            </w:tcMar>
            <w:vAlign w:val="center"/>
          </w:tcPr>
          <w:p>
            <w:r>
              <w:rPr>
                <w:rFonts w:ascii="Arial" w:cs="Arial" w:eastAsia="Arial" w:hAnsi="Arial"/>
                <w:color w:val="1C2A36"/>
                <w:sz w:val="20"/>
                <w:szCs w:val="20"/>
              </w:rPr>
              <w:t xml:space="preserve">Removing waterborne pathogens, heavy metals, and chemical contaminants directly reduces the incidence of diarrhoeal disease, cholera, typhoid, arsenicosis, and lead poisoning. This contributes to Targets 3.3 (end communicable diseases) and 3.9 (reduce deaths from hazardous substances).</w:t>
            </w:r>
          </w:p>
        </w:tc>
      </w:tr>
      <w:tr>
        <w:tc>
          <w:tcPr>
            <w:tcW w:type="dxa" w:w="1200"/>
            <w:tcBorders>
              <w:top w:val="single" w:color="D9DDE1" w:sz="4"/>
              <w:left w:val="single" w:color="D9DDE1" w:sz="4"/>
              <w:bottom w:val="single" w:color="D9DDE1" w:sz="4"/>
              <w:right w:val="single" w:color="D9DDE1" w:sz="4"/>
            </w:tcBorders>
            <w:shd w:fill="FF6F00"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11</w:t>
            </w:r>
          </w:p>
        </w:tc>
        <w:tc>
          <w:tcPr>
            <w:tcW w:type="dxa" w:w="2600"/>
            <w:tcBorders>
              <w:top w:val="single" w:color="D9DDE1" w:sz="4"/>
              <w:left w:val="single" w:color="D9DDE1" w:sz="4"/>
              <w:bottom w:val="single" w:color="D9DDE1" w:sz="4"/>
              <w:right w:val="single" w:color="D9DDE1" w:sz="4"/>
            </w:tcBorders>
            <w:shd w:fill="FF6F00" w:val="clear"/>
            <w:tcMar>
              <w:top w:type="dxa" w:w="100"/>
              <w:left w:type="dxa" w:w="140"/>
              <w:bottom w:type="dxa" w:w="100"/>
              <w:right w:type="dxa" w:w="140"/>
            </w:tcMar>
            <w:vAlign w:val="center"/>
          </w:tcPr>
          <w:p>
            <w:r>
              <w:rPr>
                <w:rFonts w:ascii="Arial" w:cs="Arial" w:eastAsia="Arial" w:hAnsi="Arial"/>
                <w:b/>
                <w:bCs/>
                <w:color w:val="FFFFFF"/>
                <w:sz w:val="20"/>
                <w:szCs w:val="20"/>
              </w:rPr>
              <w:t xml:space="preserve">Sustainable Cities &amp; Communities</w:t>
            </w:r>
          </w:p>
        </w:tc>
        <w:tc>
          <w:tcPr>
            <w:tcW w:type="dxa" w:w="5560"/>
            <w:tcBorders>
              <w:top w:val="single" w:color="D9DDE1" w:sz="4"/>
              <w:left w:val="single" w:color="D9DDE1" w:sz="4"/>
              <w:bottom w:val="single" w:color="D9DDE1" w:sz="4"/>
              <w:right w:val="single" w:color="D9DDE1" w:sz="4"/>
            </w:tcBorders>
            <w:shd w:fill="F4F6F8" w:val="clear"/>
            <w:tcMar>
              <w:top w:type="dxa" w:w="100"/>
              <w:left w:type="dxa" w:w="160"/>
              <w:bottom w:type="dxa" w:w="100"/>
              <w:right w:type="dxa" w:w="160"/>
            </w:tcMar>
            <w:vAlign w:val="center"/>
          </w:tcPr>
          <w:p>
            <w:r>
              <w:rPr>
                <w:rFonts w:ascii="Arial" w:cs="Arial" w:eastAsia="Arial" w:hAnsi="Arial"/>
                <w:color w:val="1C2A36"/>
                <w:sz w:val="20"/>
                <w:szCs w:val="20"/>
              </w:rPr>
              <w:t xml:space="preserve">The project strengthens urban water security infrastructure, reducing community vulnerability to water-related shocks (Target 11.5) and supporting access to safe and inclusive public services (Target 11.1). RO kiosk networks specifically serve informal urban settlements.</w:t>
            </w:r>
          </w:p>
        </w:tc>
      </w:tr>
      <w:tr>
        <w:tc>
          <w:tcPr>
            <w:tcW w:type="dxa" w:w="1200"/>
            <w:tcBorders>
              <w:top w:val="single" w:color="D9DDE1" w:sz="4"/>
              <w:left w:val="single" w:color="D9DDE1" w:sz="4"/>
              <w:bottom w:val="single" w:color="D9DDE1" w:sz="4"/>
              <w:right w:val="single" w:color="D9DDE1" w:sz="4"/>
            </w:tcBorders>
            <w:shd w:fill="E53935"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10</w:t>
            </w:r>
          </w:p>
        </w:tc>
        <w:tc>
          <w:tcPr>
            <w:tcW w:type="dxa" w:w="2600"/>
            <w:tcBorders>
              <w:top w:val="single" w:color="D9DDE1" w:sz="4"/>
              <w:left w:val="single" w:color="D9DDE1" w:sz="4"/>
              <w:bottom w:val="single" w:color="D9DDE1" w:sz="4"/>
              <w:right w:val="single" w:color="D9DDE1" w:sz="4"/>
            </w:tcBorders>
            <w:shd w:fill="E53935" w:val="clear"/>
            <w:tcMar>
              <w:top w:type="dxa" w:w="100"/>
              <w:left w:type="dxa" w:w="140"/>
              <w:bottom w:type="dxa" w:w="100"/>
              <w:right w:type="dxa" w:w="140"/>
            </w:tcMar>
            <w:vAlign w:val="center"/>
          </w:tcPr>
          <w:p>
            <w:r>
              <w:rPr>
                <w:rFonts w:ascii="Arial" w:cs="Arial" w:eastAsia="Arial" w:hAnsi="Arial"/>
                <w:b/>
                <w:bCs/>
                <w:color w:val="FFFFFF"/>
                <w:sz w:val="20"/>
                <w:szCs w:val="20"/>
              </w:rPr>
              <w:t xml:space="preserve">Reduced Inequalities</w:t>
            </w:r>
          </w:p>
        </w:tc>
        <w:tc>
          <w:tcPr>
            <w:tcW w:type="dxa" w:w="5560"/>
            <w:tcBorders>
              <w:top w:val="single" w:color="D9DDE1" w:sz="4"/>
              <w:left w:val="single" w:color="D9DDE1" w:sz="4"/>
              <w:bottom w:val="single" w:color="D9DDE1" w:sz="4"/>
              <w:right w:val="single" w:color="D9DDE1" w:sz="4"/>
            </w:tcBorders>
            <w:shd w:fill="FFFFFF" w:val="clear"/>
            <w:tcMar>
              <w:top w:type="dxa" w:w="100"/>
              <w:left w:type="dxa" w:w="160"/>
              <w:bottom w:type="dxa" w:w="100"/>
              <w:right w:type="dxa" w:w="160"/>
            </w:tcMar>
            <w:vAlign w:val="center"/>
          </w:tcPr>
          <w:p>
            <w:r>
              <w:rPr>
                <w:rFonts w:ascii="Arial" w:cs="Arial" w:eastAsia="Arial" w:hAnsi="Arial"/>
                <w:color w:val="1C2A36"/>
                <w:sz w:val="20"/>
                <w:szCs w:val="20"/>
              </w:rPr>
              <w:t xml:space="preserve">Subsidized community kiosk pricing and pro-poor tariff structures ensure that the lowest-income urban residents are not excluded from access to safe water. Targeted deployment in vulnerable communities directly addresses water-access inequality (Target 10.2).</w:t>
            </w:r>
          </w:p>
        </w:tc>
      </w:tr>
      <w:tr>
        <w:tc>
          <w:tcPr>
            <w:tcW w:type="dxa" w:w="1200"/>
            <w:tcBorders>
              <w:top w:val="single" w:color="D9DDE1" w:sz="4"/>
              <w:left w:val="single" w:color="D9DDE1" w:sz="4"/>
              <w:bottom w:val="single" w:color="D9DDE1" w:sz="4"/>
              <w:right w:val="single" w:color="D9DDE1"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13</w:t>
            </w:r>
          </w:p>
        </w:tc>
        <w:tc>
          <w:tcPr>
            <w:tcW w:type="dxa" w:w="2600"/>
            <w:tcBorders>
              <w:top w:val="single" w:color="D9DDE1" w:sz="4"/>
              <w:left w:val="single" w:color="D9DDE1" w:sz="4"/>
              <w:bottom w:val="single" w:color="D9DDE1" w:sz="4"/>
              <w:right w:val="single" w:color="D9DDE1" w:sz="4"/>
            </w:tcBorders>
            <w:shd w:fill="2E7D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Climate Action</w:t>
            </w:r>
          </w:p>
        </w:tc>
        <w:tc>
          <w:tcPr>
            <w:tcW w:type="dxa" w:w="5560"/>
            <w:tcBorders>
              <w:top w:val="single" w:color="D9DDE1" w:sz="4"/>
              <w:left w:val="single" w:color="D9DDE1" w:sz="4"/>
              <w:bottom w:val="single" w:color="D9DDE1" w:sz="4"/>
              <w:right w:val="single" w:color="D9DDE1" w:sz="4"/>
            </w:tcBorders>
            <w:shd w:fill="F4F6F8" w:val="clear"/>
            <w:tcMar>
              <w:top w:type="dxa" w:w="100"/>
              <w:left w:type="dxa" w:w="160"/>
              <w:bottom w:type="dxa" w:w="100"/>
              <w:right w:type="dxa" w:w="160"/>
            </w:tcMar>
            <w:vAlign w:val="center"/>
          </w:tcPr>
          <w:p>
            <w:r>
              <w:rPr>
                <w:rFonts w:ascii="Arial" w:cs="Arial" w:eastAsia="Arial" w:hAnsi="Arial"/>
                <w:color w:val="1C2A36"/>
                <w:sz w:val="20"/>
                <w:szCs w:val="20"/>
              </w:rPr>
              <w:t xml:space="preserve">Solar-powered Tier-3 units and energy-efficient Tier-1 plant design minimize the carbon footprint of water treatment. The project builds community resilience against climate-induced water supply disruptions (Target 13.1) and incorporates climate risk into infrastructure design.</w:t>
            </w:r>
          </w:p>
        </w:tc>
      </w:tr>
      <w:tr>
        <w:tc>
          <w:tcPr>
            <w:tcW w:type="dxa" w:w="1200"/>
            <w:tcBorders>
              <w:top w:val="single" w:color="D9DDE1" w:sz="4"/>
              <w:left w:val="single" w:color="D9DDE1" w:sz="4"/>
              <w:bottom w:val="single" w:color="D9DDE1" w:sz="4"/>
              <w:right w:val="single" w:color="D9DDE1" w:sz="4"/>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SDG 17</w:t>
            </w:r>
          </w:p>
        </w:tc>
        <w:tc>
          <w:tcPr>
            <w:tcW w:type="dxa" w:w="2600"/>
            <w:tcBorders>
              <w:top w:val="single" w:color="D9DDE1" w:sz="4"/>
              <w:left w:val="single" w:color="D9DDE1" w:sz="4"/>
              <w:bottom w:val="single" w:color="D9DDE1" w:sz="4"/>
              <w:right w:val="single" w:color="D9DDE1" w:sz="4"/>
            </w:tcBorders>
            <w:shd w:fill="6A1B9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Partnerships for the Goals</w:t>
            </w:r>
          </w:p>
        </w:tc>
        <w:tc>
          <w:tcPr>
            <w:tcW w:type="dxa" w:w="5560"/>
            <w:tcBorders>
              <w:top w:val="single" w:color="D9DDE1" w:sz="4"/>
              <w:left w:val="single" w:color="D9DDE1" w:sz="4"/>
              <w:bottom w:val="single" w:color="D9DDE1" w:sz="4"/>
              <w:right w:val="single" w:color="D9DDE1" w:sz="4"/>
            </w:tcBorders>
            <w:shd w:fill="FFFFFF" w:val="clear"/>
            <w:tcMar>
              <w:top w:type="dxa" w:w="100"/>
              <w:left w:type="dxa" w:w="160"/>
              <w:bottom w:type="dxa" w:w="100"/>
              <w:right w:type="dxa" w:w="160"/>
            </w:tcMar>
            <w:vAlign w:val="center"/>
          </w:tcPr>
          <w:p>
            <w:r>
              <w:rPr>
                <w:rFonts w:ascii="Arial" w:cs="Arial" w:eastAsia="Arial" w:hAnsi="Arial"/>
                <w:color w:val="1C2A36"/>
                <w:sz w:val="20"/>
                <w:szCs w:val="20"/>
              </w:rPr>
              <w:t xml:space="preserve">The project is structured around multi-stakeholder partnerships between municipal governments, development finance institutions, NGOs, the private sector, and local communities. Knowledge-sharing protocols and open-source performance data support SDG 17.16 (multi-stakeholder partnerships).</w:t>
            </w:r>
          </w:p>
        </w:tc>
      </w:tr>
    </w:tbl>
    <w:p>
      <w:pPr>
        <w:spacing w:after="0" w:before="240"/>
      </w:pPr>
    </w:p>
    <w:p>
      <w:pPr>
        <w:pStyle w:val="Heading2"/>
        <w:spacing w:after="120" w:before="280"/>
      </w:pPr>
      <w:r>
        <w:rPr>
          <w:rFonts w:ascii="Arial" w:cs="Arial" w:eastAsia="Arial" w:hAnsi="Arial"/>
          <w:b/>
          <w:bCs/>
          <w:color w:val="2E75B6"/>
          <w:sz w:val="28"/>
          <w:szCs w:val="28"/>
        </w:rPr>
        <w:t xml:space="preserve">5.1  SDG Indicator Tracking Framework</w:t>
      </w:r>
    </w:p>
    <w:p>
      <w:pPr>
        <w:spacing w:after="120" w:before="80"/>
        <w:jc w:val="left"/>
      </w:pPr>
      <w:r>
        <w:rPr>
          <w:rFonts w:ascii="Arial" w:cs="Arial" w:eastAsia="Arial" w:hAnsi="Arial"/>
          <w:color w:val="1C2A36"/>
          <w:sz w:val="22"/>
          <w:szCs w:val="22"/>
        </w:rPr>
        <w:t xml:space="preserve">The project commits to monitoring and reporting against the following SDG indicators throughout implementation and operation:</w:t>
      </w:r>
    </w:p>
    <w:p>
      <w:pPr>
        <w:pStyle w:val="ListParagraph"/>
        <w:numPr>
          <w:ilvl w:val="0"/>
          <w:numId w:val="2"/>
        </w:numPr>
        <w:spacing w:after="60" w:before="60"/>
      </w:pPr>
      <w:r>
        <w:rPr>
          <w:rFonts w:ascii="Arial" w:cs="Arial" w:eastAsia="Arial" w:hAnsi="Arial"/>
          <w:color w:val="1C2A36"/>
          <w:sz w:val="22"/>
          <w:szCs w:val="22"/>
        </w:rPr>
        <w:t xml:space="preserve">SDG 6.1.1:</w:t>
      </w:r>
      <w:r>
        <w:rPr>
          <w:rFonts w:ascii="Arial" w:cs="Arial" w:eastAsia="Arial" w:hAnsi="Arial"/>
          <w:color w:val="4A5568"/>
          <w:sz w:val="20"/>
          <w:szCs w:val="20"/>
        </w:rPr>
        <w:t xml:space="preserve"> Proportion of population using safely managed drinking water services</w:t>
      </w:r>
    </w:p>
    <w:p>
      <w:pPr>
        <w:pStyle w:val="ListParagraph"/>
        <w:numPr>
          <w:ilvl w:val="0"/>
          <w:numId w:val="2"/>
        </w:numPr>
        <w:spacing w:after="60" w:before="60"/>
      </w:pPr>
      <w:r>
        <w:rPr>
          <w:rFonts w:ascii="Arial" w:cs="Arial" w:eastAsia="Arial" w:hAnsi="Arial"/>
          <w:color w:val="1C2A36"/>
          <w:sz w:val="22"/>
          <w:szCs w:val="22"/>
        </w:rPr>
        <w:t xml:space="preserve">SDG 3.9.2:</w:t>
      </w:r>
      <w:r>
        <w:rPr>
          <w:rFonts w:ascii="Arial" w:cs="Arial" w:eastAsia="Arial" w:hAnsi="Arial"/>
          <w:color w:val="4A5568"/>
          <w:sz w:val="20"/>
          <w:szCs w:val="20"/>
        </w:rPr>
        <w:t xml:space="preserve"> Mortality rate attributed to unsafe water, unsafe sanitation and lack of hygiene</w:t>
      </w:r>
    </w:p>
    <w:p>
      <w:pPr>
        <w:pStyle w:val="ListParagraph"/>
        <w:numPr>
          <w:ilvl w:val="0"/>
          <w:numId w:val="2"/>
        </w:numPr>
        <w:spacing w:after="60" w:before="60"/>
      </w:pPr>
      <w:r>
        <w:rPr>
          <w:rFonts w:ascii="Arial" w:cs="Arial" w:eastAsia="Arial" w:hAnsi="Arial"/>
          <w:color w:val="1C2A36"/>
          <w:sz w:val="22"/>
          <w:szCs w:val="22"/>
        </w:rPr>
        <w:t xml:space="preserve">SDG 11.1.1:</w:t>
      </w:r>
      <w:r>
        <w:rPr>
          <w:rFonts w:ascii="Arial" w:cs="Arial" w:eastAsia="Arial" w:hAnsi="Arial"/>
          <w:color w:val="4A5568"/>
          <w:sz w:val="20"/>
          <w:szCs w:val="20"/>
        </w:rPr>
        <w:t xml:space="preserve"> Proportion of urban population living in slums or informal settlements with access to improved water</w:t>
      </w:r>
    </w:p>
    <w:p>
      <w:pPr>
        <w:pStyle w:val="ListParagraph"/>
        <w:numPr>
          <w:ilvl w:val="0"/>
          <w:numId w:val="2"/>
        </w:numPr>
        <w:spacing w:after="60" w:before="60"/>
      </w:pPr>
      <w:r>
        <w:rPr>
          <w:rFonts w:ascii="Arial" w:cs="Arial" w:eastAsia="Arial" w:hAnsi="Arial"/>
          <w:color w:val="1C2A36"/>
          <w:sz w:val="22"/>
          <w:szCs w:val="22"/>
        </w:rPr>
        <w:t xml:space="preserve">SDG 13.2.2:</w:t>
      </w:r>
      <w:r>
        <w:rPr>
          <w:rFonts w:ascii="Arial" w:cs="Arial" w:eastAsia="Arial" w:hAnsi="Arial"/>
          <w:color w:val="4A5568"/>
          <w:sz w:val="20"/>
          <w:szCs w:val="20"/>
        </w:rPr>
        <w:t xml:space="preserve"> Total greenhouse gas emissions per year (tracking RO facility emissions)</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6. Community &amp; Urban Benefits</w:t>
      </w:r>
    </w:p>
    <w:p>
      <w:pPr>
        <w:pStyle w:val="Heading2"/>
        <w:spacing w:after="120" w:before="280"/>
      </w:pPr>
      <w:r>
        <w:rPr>
          <w:rFonts w:ascii="Arial" w:cs="Arial" w:eastAsia="Arial" w:hAnsi="Arial"/>
          <w:b/>
          <w:bCs/>
          <w:color w:val="2E75B6"/>
          <w:sz w:val="28"/>
          <w:szCs w:val="28"/>
        </w:rPr>
        <w:t xml:space="preserve">6.1  Public Health Improvements</w:t>
      </w:r>
    </w:p>
    <w:p>
      <w:pPr>
        <w:spacing w:after="120" w:before="80"/>
        <w:jc w:val="both"/>
      </w:pPr>
      <w:r>
        <w:rPr>
          <w:rFonts w:ascii="Arial" w:cs="Arial" w:eastAsia="Arial" w:hAnsi="Arial"/>
          <w:color w:val="1C2A36"/>
          <w:sz w:val="22"/>
          <w:szCs w:val="22"/>
        </w:rPr>
        <w:t xml:space="preserve">Access to safe drinking water is the single most effective public health intervention available. Studies consistently demonstrate that community-scale water purification reduces diarrhoeal disease incidence by up to 45%, waterborne disease-related child mortality by up to 30%, and overall healthcare expenditure by a significant margin. By removing chemical contaminants such as lead and arsenic — known to cause irreversible neurological damage in children — RO systems protect not only immediate health but also long-term cognitive and economic potential.</w:t>
      </w:r>
    </w:p>
    <w:p>
      <w:pPr>
        <w:pStyle w:val="Heading2"/>
        <w:spacing w:after="120" w:before="280"/>
      </w:pPr>
      <w:r>
        <w:rPr>
          <w:rFonts w:ascii="Arial" w:cs="Arial" w:eastAsia="Arial" w:hAnsi="Arial"/>
          <w:b/>
          <w:bCs/>
          <w:color w:val="2E75B6"/>
          <w:sz w:val="28"/>
          <w:szCs w:val="28"/>
        </w:rPr>
        <w:t xml:space="preserve">6.2  Economic Development</w:t>
      </w:r>
    </w:p>
    <w:p>
      <w:pPr>
        <w:pStyle w:val="ListParagraph"/>
        <w:numPr>
          <w:ilvl w:val="0"/>
          <w:numId w:val="2"/>
        </w:numPr>
        <w:spacing w:after="60" w:before="60"/>
      </w:pPr>
      <w:r>
        <w:rPr>
          <w:rFonts w:ascii="Arial" w:cs="Arial" w:eastAsia="Arial" w:hAnsi="Arial"/>
          <w:color w:val="1C2A36"/>
          <w:sz w:val="22"/>
          <w:szCs w:val="22"/>
        </w:rPr>
        <w:t xml:space="preserve">Reduction in household medical expenditure for water-related illness: estimated USD 120–350 per household per year</w:t>
      </w:r>
    </w:p>
    <w:p>
      <w:pPr>
        <w:pStyle w:val="ListParagraph"/>
        <w:numPr>
          <w:ilvl w:val="0"/>
          <w:numId w:val="2"/>
        </w:numPr>
        <w:spacing w:after="60" w:before="60"/>
      </w:pPr>
      <w:r>
        <w:rPr>
          <w:rFonts w:ascii="Arial" w:cs="Arial" w:eastAsia="Arial" w:hAnsi="Arial"/>
          <w:color w:val="1C2A36"/>
          <w:sz w:val="22"/>
          <w:szCs w:val="22"/>
        </w:rPr>
        <w:t xml:space="preserve">Elimination of bottled water costs for low-income households: estimated USD 80–200 per year saving</w:t>
      </w:r>
    </w:p>
    <w:p>
      <w:pPr>
        <w:pStyle w:val="ListParagraph"/>
        <w:numPr>
          <w:ilvl w:val="0"/>
          <w:numId w:val="2"/>
        </w:numPr>
        <w:spacing w:after="60" w:before="60"/>
      </w:pPr>
      <w:r>
        <w:rPr>
          <w:rFonts w:ascii="Arial" w:cs="Arial" w:eastAsia="Arial" w:hAnsi="Arial"/>
          <w:color w:val="1C2A36"/>
          <w:sz w:val="22"/>
          <w:szCs w:val="22"/>
        </w:rPr>
        <w:t xml:space="preserve">Increased labour productivity from reduced waterborne illness absence</w:t>
      </w:r>
    </w:p>
    <w:p>
      <w:pPr>
        <w:pStyle w:val="ListParagraph"/>
        <w:numPr>
          <w:ilvl w:val="0"/>
          <w:numId w:val="2"/>
        </w:numPr>
        <w:spacing w:after="60" w:before="60"/>
      </w:pPr>
      <w:r>
        <w:rPr>
          <w:rFonts w:ascii="Arial" w:cs="Arial" w:eastAsia="Arial" w:hAnsi="Arial"/>
          <w:color w:val="1C2A36"/>
          <w:sz w:val="22"/>
          <w:szCs w:val="22"/>
        </w:rPr>
        <w:t xml:space="preserve">Creation of local O&amp;M employment: estimated 15–25 skilled and semi-skilled jobs per Tier-2 facility</w:t>
      </w:r>
    </w:p>
    <w:p>
      <w:pPr>
        <w:pStyle w:val="ListParagraph"/>
        <w:numPr>
          <w:ilvl w:val="0"/>
          <w:numId w:val="2"/>
        </w:numPr>
        <w:spacing w:after="60" w:before="60"/>
      </w:pPr>
      <w:r>
        <w:rPr>
          <w:rFonts w:ascii="Arial" w:cs="Arial" w:eastAsia="Arial" w:hAnsi="Arial"/>
          <w:color w:val="1C2A36"/>
          <w:sz w:val="22"/>
          <w:szCs w:val="22"/>
        </w:rPr>
        <w:t xml:space="preserve">Enabling conditions for small-scale food production and local economic activities that require clean water</w:t>
      </w:r>
    </w:p>
    <w:p>
      <w:pPr>
        <w:pStyle w:val="Heading2"/>
        <w:spacing w:after="120" w:before="280"/>
      </w:pPr>
      <w:r>
        <w:rPr>
          <w:rFonts w:ascii="Arial" w:cs="Arial" w:eastAsia="Arial" w:hAnsi="Arial"/>
          <w:b/>
          <w:bCs/>
          <w:color w:val="2E75B6"/>
          <w:sz w:val="28"/>
          <w:szCs w:val="28"/>
        </w:rPr>
        <w:t xml:space="preserve">6.3  Gender &amp; Social Equity</w:t>
      </w:r>
    </w:p>
    <w:p>
      <w:pPr>
        <w:spacing w:after="120" w:before="80"/>
        <w:jc w:val="both"/>
      </w:pPr>
      <w:r>
        <w:rPr>
          <w:rFonts w:ascii="Arial" w:cs="Arial" w:eastAsia="Arial" w:hAnsi="Arial"/>
          <w:color w:val="1C2A36"/>
          <w:sz w:val="22"/>
          <w:szCs w:val="22"/>
        </w:rPr>
        <w:t xml:space="preserve">In many low- and middle-income communities, the burden of water collection falls disproportionately on women and girls, consuming 2–6 hours per day that could otherwise be devoted to education, livelihood, and wellbeing. Neighbourhood RO kiosks dramatically reduce this burden by providing clean water within walking distance of homes. The project incorporates gender-responsive design principles, including ensuring women's representation in community water management committees.</w:t>
      </w:r>
    </w:p>
    <w:p>
      <w:pPr>
        <w:pStyle w:val="Heading2"/>
        <w:spacing w:after="120" w:before="280"/>
      </w:pPr>
      <w:r>
        <w:rPr>
          <w:rFonts w:ascii="Arial" w:cs="Arial" w:eastAsia="Arial" w:hAnsi="Arial"/>
          <w:b/>
          <w:bCs/>
          <w:color w:val="2E75B6"/>
          <w:sz w:val="28"/>
          <w:szCs w:val="28"/>
        </w:rPr>
        <w:t xml:space="preserve">6.4  Environmental Sustainability</w:t>
      </w:r>
    </w:p>
    <w:p>
      <w:pPr>
        <w:pStyle w:val="ListParagraph"/>
        <w:numPr>
          <w:ilvl w:val="0"/>
          <w:numId w:val="2"/>
        </w:numPr>
        <w:spacing w:after="60" w:before="60"/>
      </w:pPr>
      <w:r>
        <w:rPr>
          <w:rFonts w:ascii="Arial" w:cs="Arial" w:eastAsia="Arial" w:hAnsi="Arial"/>
          <w:color w:val="1C2A36"/>
          <w:sz w:val="22"/>
          <w:szCs w:val="22"/>
        </w:rPr>
        <w:t xml:space="preserve">Significant reduction in single-use plastic bottle consumption — estimated 500+ bottles per household per year avoided</w:t>
      </w:r>
    </w:p>
    <w:p>
      <w:pPr>
        <w:pStyle w:val="ListParagraph"/>
        <w:numPr>
          <w:ilvl w:val="0"/>
          <w:numId w:val="2"/>
        </w:numPr>
        <w:spacing w:after="60" w:before="60"/>
      </w:pPr>
      <w:r>
        <w:rPr>
          <w:rFonts w:ascii="Arial" w:cs="Arial" w:eastAsia="Arial" w:hAnsi="Arial"/>
          <w:color w:val="1C2A36"/>
          <w:sz w:val="22"/>
          <w:szCs w:val="22"/>
        </w:rPr>
        <w:t xml:space="preserve">Responsible brine management through lined evaporation ponds and industrial reuse agreements</w:t>
      </w:r>
    </w:p>
    <w:p>
      <w:pPr>
        <w:pStyle w:val="ListParagraph"/>
        <w:numPr>
          <w:ilvl w:val="0"/>
          <w:numId w:val="2"/>
        </w:numPr>
        <w:spacing w:after="60" w:before="60"/>
      </w:pPr>
      <w:r>
        <w:rPr>
          <w:rFonts w:ascii="Arial" w:cs="Arial" w:eastAsia="Arial" w:hAnsi="Arial"/>
          <w:color w:val="1C2A36"/>
          <w:sz w:val="22"/>
          <w:szCs w:val="22"/>
        </w:rPr>
        <w:t xml:space="preserve">Integration with grey-water recycling in Tier-1 facilities to increase overall water use efficiency</w:t>
      </w:r>
    </w:p>
    <w:p>
      <w:pPr>
        <w:pStyle w:val="ListParagraph"/>
        <w:numPr>
          <w:ilvl w:val="0"/>
          <w:numId w:val="2"/>
        </w:numPr>
        <w:spacing w:after="60" w:before="60"/>
      </w:pPr>
      <w:r>
        <w:rPr>
          <w:rFonts w:ascii="Arial" w:cs="Arial" w:eastAsia="Arial" w:hAnsi="Arial"/>
          <w:color w:val="1C2A36"/>
          <w:sz w:val="22"/>
          <w:szCs w:val="22"/>
        </w:rPr>
        <w:t xml:space="preserve">Habitat protection through reduced dependence on over-extracted groundwater sources</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7. Financial Framework</w:t>
      </w:r>
    </w:p>
    <w:p>
      <w:pPr>
        <w:pStyle w:val="Heading2"/>
        <w:spacing w:after="120" w:before="280"/>
      </w:pPr>
      <w:r>
        <w:rPr>
          <w:rFonts w:ascii="Arial" w:cs="Arial" w:eastAsia="Arial" w:hAnsi="Arial"/>
          <w:b/>
          <w:bCs/>
          <w:color w:val="2E75B6"/>
          <w:sz w:val="28"/>
          <w:szCs w:val="28"/>
        </w:rPr>
        <w:t xml:space="preserve">7.1  Capital Expenditure (CAPEX)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Facility Type</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Unit Capacity</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Unit CAPEX (USD)</w:t>
            </w:r>
          </w:p>
        </w:tc>
        <w:tc>
          <w:tcPr>
            <w:tcW w:type="dxa" w:w="2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c>
          <w:tcPr>
            <w:tcW w:type="dxa" w:w="28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Tier-1: Central Plant</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10–50 MLD</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$3M – $25M</w:t>
            </w:r>
          </w:p>
        </w:tc>
        <w:tc>
          <w:tcPr>
            <w:tcW w:type="dxa" w:w="25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Site-specific civil works major cost driver</w:t>
            </w:r>
          </w:p>
        </w:tc>
      </w:tr>
      <w:tr>
        <w:tc>
          <w:tcPr>
            <w:tcW w:type="dxa" w:w="28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Tier-2: District Hub (containerized)</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500 KLD–5 MLD</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$250K – $1.5M</w:t>
            </w:r>
          </w:p>
        </w:tc>
        <w:tc>
          <w:tcPr>
            <w:tcW w:type="dxa" w:w="25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Modular; includes installation and commissioning</w:t>
            </w:r>
          </w:p>
        </w:tc>
      </w:tr>
      <w:tr>
        <w:tc>
          <w:tcPr>
            <w:tcW w:type="dxa" w:w="28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Tier-3: Community Kiosk (solar)</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5,000–10,000 LPD</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$15,000 – $35,000</w:t>
            </w:r>
          </w:p>
        </w:tc>
        <w:tc>
          <w:tcPr>
            <w:tcW w:type="dxa" w:w="25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Off-grid; includes solar array and smart metering</w:t>
            </w:r>
          </w:p>
        </w:tc>
      </w:tr>
      <w:tr>
        <w:tc>
          <w:tcPr>
            <w:tcW w:type="dxa" w:w="28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SCADA &amp; Monitoring System</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Per facility</w:t>
            </w:r>
          </w:p>
        </w:tc>
        <w:tc>
          <w:tcPr>
            <w:tcW w:type="dxa" w:w="20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$25K – $150K</w:t>
            </w:r>
          </w:p>
        </w:tc>
        <w:tc>
          <w:tcPr>
            <w:tcW w:type="dxa" w:w="25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IoT sensors, cloud platform, annual licensing</w:t>
            </w:r>
          </w:p>
        </w:tc>
      </w:tr>
      <w:tr>
        <w:tc>
          <w:tcPr>
            <w:tcW w:type="dxa" w:w="2800"/>
            <w:tcBorders>
              <w:top w:val="single" w:color="D9DDE1" w:sz="4"/>
              <w:left w:val="single" w:color="D9DDE1" w:sz="4"/>
              <w:bottom w:val="single" w:color="D9DDE1" w:sz="4"/>
              <w:right w:val="single" w:color="D9DDE1" w:sz="4"/>
            </w:tcBorders>
            <w:shd w:fill="D0E8F5" w:val="clear"/>
            <w:tcMar>
              <w:top w:type="dxa" w:w="80"/>
              <w:left w:type="dxa" w:w="150"/>
              <w:bottom w:type="dxa" w:w="80"/>
              <w:right w:type="dxa" w:w="150"/>
            </w:tcMar>
            <w:vAlign w:val="center"/>
          </w:tcPr>
          <w:p>
            <w:pPr>
              <w:jc w:val="left"/>
            </w:pPr>
            <w:r>
              <w:rPr>
                <w:rFonts w:ascii="Arial" w:cs="Arial" w:eastAsia="Arial" w:hAnsi="Arial"/>
                <w:b/>
                <w:bCs/>
                <w:color w:val="1A3A5C"/>
                <w:sz w:val="21"/>
                <w:szCs w:val="21"/>
              </w:rPr>
              <w:t xml:space="preserve">Training &amp; Capacity Building</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val="false"/>
                <w:bCs w:val="false"/>
                <w:color w:val="1C2A36"/>
                <w:sz w:val="21"/>
                <w:szCs w:val="21"/>
              </w:rPr>
              <w:t xml:space="preserve">Per city rollout</w:t>
            </w:r>
          </w:p>
        </w:tc>
        <w:tc>
          <w:tcPr>
            <w:tcW w:type="dxa" w:w="20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$50K – $200K</w:t>
            </w:r>
          </w:p>
        </w:tc>
        <w:tc>
          <w:tcPr>
            <w:tcW w:type="dxa" w:w="25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Operator certification, community education</w:t>
            </w:r>
          </w:p>
        </w:tc>
      </w:tr>
    </w:tbl>
    <w:p>
      <w:pPr>
        <w:spacing w:after="0" w:before="200"/>
      </w:pPr>
    </w:p>
    <w:p>
      <w:pPr>
        <w:pStyle w:val="Heading2"/>
        <w:spacing w:after="120" w:before="280"/>
      </w:pPr>
      <w:r>
        <w:rPr>
          <w:rFonts w:ascii="Arial" w:cs="Arial" w:eastAsia="Arial" w:hAnsi="Arial"/>
          <w:b/>
          <w:bCs/>
          <w:color w:val="2E75B6"/>
          <w:sz w:val="28"/>
          <w:szCs w:val="28"/>
        </w:rPr>
        <w:t xml:space="preserve">7.2  Financing &amp; Cost Recovery Strategy</w:t>
      </w:r>
    </w:p>
    <w:p>
      <w:pPr>
        <w:pStyle w:val="ListParagraph"/>
        <w:numPr>
          <w:ilvl w:val="0"/>
          <w:numId w:val="2"/>
        </w:numPr>
        <w:spacing w:after="60" w:before="60"/>
      </w:pPr>
      <w:r>
        <w:rPr>
          <w:rFonts w:ascii="Arial" w:cs="Arial" w:eastAsia="Arial" w:hAnsi="Arial"/>
          <w:color w:val="1C2A36"/>
          <w:sz w:val="22"/>
          <w:szCs w:val="22"/>
        </w:rPr>
        <w:t xml:space="preserve">Development Finance (Grants &amp; Concessional Loans):</w:t>
      </w:r>
      <w:r>
        <w:rPr>
          <w:rFonts w:ascii="Arial" w:cs="Arial" w:eastAsia="Arial" w:hAnsi="Arial"/>
          <w:color w:val="4A5568"/>
          <w:sz w:val="20"/>
          <w:szCs w:val="20"/>
        </w:rPr>
        <w:t xml:space="preserve"> World Bank, AfDB, ADB, USAID, GIZ, UNICEF WASH programmes</w:t>
      </w:r>
    </w:p>
    <w:p>
      <w:pPr>
        <w:pStyle w:val="ListParagraph"/>
        <w:numPr>
          <w:ilvl w:val="0"/>
          <w:numId w:val="2"/>
        </w:numPr>
        <w:spacing w:after="60" w:before="60"/>
      </w:pPr>
      <w:r>
        <w:rPr>
          <w:rFonts w:ascii="Arial" w:cs="Arial" w:eastAsia="Arial" w:hAnsi="Arial"/>
          <w:color w:val="1C2A36"/>
          <w:sz w:val="22"/>
          <w:szCs w:val="22"/>
        </w:rPr>
        <w:t xml:space="preserve">Blended Finance:</w:t>
      </w:r>
      <w:r>
        <w:rPr>
          <w:rFonts w:ascii="Arial" w:cs="Arial" w:eastAsia="Arial" w:hAnsi="Arial"/>
          <w:color w:val="4A5568"/>
          <w:sz w:val="20"/>
          <w:szCs w:val="20"/>
        </w:rPr>
        <w:t xml:space="preserve"> Public-private partnerships with international water utilities</w:t>
      </w:r>
    </w:p>
    <w:p>
      <w:pPr>
        <w:pStyle w:val="ListParagraph"/>
        <w:numPr>
          <w:ilvl w:val="0"/>
          <w:numId w:val="2"/>
        </w:numPr>
        <w:spacing w:after="60" w:before="60"/>
      </w:pPr>
      <w:r>
        <w:rPr>
          <w:rFonts w:ascii="Arial" w:cs="Arial" w:eastAsia="Arial" w:hAnsi="Arial"/>
          <w:color w:val="1C2A36"/>
          <w:sz w:val="22"/>
          <w:szCs w:val="22"/>
        </w:rPr>
        <w:t xml:space="preserve">Municipal Bonds:</w:t>
      </w:r>
      <w:r>
        <w:rPr>
          <w:rFonts w:ascii="Arial" w:cs="Arial" w:eastAsia="Arial" w:hAnsi="Arial"/>
          <w:color w:val="4A5568"/>
          <w:sz w:val="20"/>
          <w:szCs w:val="20"/>
        </w:rPr>
        <w:t xml:space="preserve"> Ring-fenced water infrastructure bonds with government guarantee</w:t>
      </w:r>
    </w:p>
    <w:p>
      <w:pPr>
        <w:pStyle w:val="ListParagraph"/>
        <w:numPr>
          <w:ilvl w:val="0"/>
          <w:numId w:val="2"/>
        </w:numPr>
        <w:spacing w:after="60" w:before="60"/>
      </w:pPr>
      <w:r>
        <w:rPr>
          <w:rFonts w:ascii="Arial" w:cs="Arial" w:eastAsia="Arial" w:hAnsi="Arial"/>
          <w:color w:val="1C2A36"/>
          <w:sz w:val="22"/>
          <w:szCs w:val="22"/>
        </w:rPr>
        <w:t xml:space="preserve">Tariff Revenues:</w:t>
      </w:r>
      <w:r>
        <w:rPr>
          <w:rFonts w:ascii="Arial" w:cs="Arial" w:eastAsia="Arial" w:hAnsi="Arial"/>
          <w:color w:val="4A5568"/>
          <w:sz w:val="20"/>
          <w:szCs w:val="20"/>
        </w:rPr>
        <w:t xml:space="preserve"> Tiered pricing structure — low-income households subsidized; commercial users pay full cost</w:t>
      </w:r>
    </w:p>
    <w:p>
      <w:pPr>
        <w:pStyle w:val="ListParagraph"/>
        <w:numPr>
          <w:ilvl w:val="0"/>
          <w:numId w:val="2"/>
        </w:numPr>
        <w:spacing w:after="60" w:before="60"/>
      </w:pPr>
      <w:r>
        <w:rPr>
          <w:rFonts w:ascii="Arial" w:cs="Arial" w:eastAsia="Arial" w:hAnsi="Arial"/>
          <w:color w:val="1C2A36"/>
          <w:sz w:val="22"/>
          <w:szCs w:val="22"/>
        </w:rPr>
        <w:t xml:space="preserve">Carbon Credits:</w:t>
      </w:r>
      <w:r>
        <w:rPr>
          <w:rFonts w:ascii="Arial" w:cs="Arial" w:eastAsia="Arial" w:hAnsi="Arial"/>
          <w:color w:val="4A5568"/>
          <w:sz w:val="20"/>
          <w:szCs w:val="20"/>
        </w:rPr>
        <w:t xml:space="preserve"> Registration of energy-efficient Tier-1 facilities under verified carbon standards</w:t>
      </w:r>
    </w:p>
    <w:p>
      <w:pPr>
        <w:spacing w:after="120" w:before="80"/>
        <w:jc w:val="both"/>
      </w:pPr>
      <w:r>
        <w:rPr>
          <w:rFonts w:ascii="Arial" w:cs="Arial" w:eastAsia="Arial" w:hAnsi="Arial"/>
          <w:color w:val="1C2A36"/>
          <w:sz w:val="22"/>
          <w:szCs w:val="22"/>
        </w:rPr>
        <w:t xml:space="preserve">The project targets full O&amp;M cost recovery through tariff revenues within 5–7 years of full-scale operation, with CAPEX recovered over a 15–20 year financing horizon. Community kiosk networks (Tier-3) may be structured as social enterprises or NGO-managed facilities with partial subsidy support.</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8.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Risk</w:t>
            </w:r>
          </w:p>
        </w:tc>
        <w:tc>
          <w:tcPr>
            <w:tcW w:type="dxa" w:w="1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Level</w:t>
            </w:r>
          </w:p>
        </w:tc>
        <w:tc>
          <w:tcPr>
            <w:tcW w:type="dxa" w:w="53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Mitigation Strategy</w:t>
            </w:r>
          </w:p>
        </w:tc>
      </w:tr>
      <w:tr>
        <w:tc>
          <w:tcPr>
            <w:tcW w:type="dxa" w:w="28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Membrane biofouling &amp; scaling</w:t>
            </w:r>
          </w:p>
        </w:tc>
        <w:tc>
          <w:tcPr>
            <w:tcW w:type="dxa" w:w="1200"/>
            <w:tcBorders>
              <w:top w:val="single" w:color="D9DDE1" w:sz="4"/>
              <w:left w:val="single" w:color="D9DDE1" w:sz="4"/>
              <w:bottom w:val="single" w:color="D9DDE1" w:sz="4"/>
              <w:right w:val="single" w:color="D9DDE1" w:sz="4"/>
            </w:tcBorders>
            <w:shd w:fill="F4F6F8"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Medium</w:t>
            </w:r>
          </w:p>
        </w:tc>
        <w:tc>
          <w:tcPr>
            <w:tcW w:type="dxa" w:w="53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Robust pre-treatment; anti-scalant dosing; preventive maintenance protocols; membrane cleaning-in-place (CIP) systems</w:t>
            </w:r>
          </w:p>
        </w:tc>
      </w:tr>
      <w:tr>
        <w:tc>
          <w:tcPr>
            <w:tcW w:type="dxa" w:w="28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Energy supply disruption</w:t>
            </w:r>
          </w:p>
        </w:tc>
        <w:tc>
          <w:tcPr>
            <w:tcW w:type="dxa" w:w="1200"/>
            <w:tcBorders>
              <w:top w:val="single" w:color="D9DDE1" w:sz="4"/>
              <w:left w:val="single" w:color="D9DDE1" w:sz="4"/>
              <w:bottom w:val="single" w:color="D9DDE1" w:sz="4"/>
              <w:right w:val="single" w:color="D9DDE1" w:sz="4"/>
            </w:tcBorders>
            <w:shd w:fill="FFFFFF"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Medium</w:t>
            </w:r>
          </w:p>
        </w:tc>
        <w:tc>
          <w:tcPr>
            <w:tcW w:type="dxa" w:w="53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Solar-diesel hybrid backup for Tier-3; grid redundancy agreements for Tier-1 and Tier-2; battery storage buffers</w:t>
            </w:r>
          </w:p>
        </w:tc>
      </w:tr>
      <w:tr>
        <w:tc>
          <w:tcPr>
            <w:tcW w:type="dxa" w:w="28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Brine disposal/environmental impact</w:t>
            </w:r>
          </w:p>
        </w:tc>
        <w:tc>
          <w:tcPr>
            <w:tcW w:type="dxa" w:w="1200"/>
            <w:tcBorders>
              <w:top w:val="single" w:color="D9DDE1" w:sz="4"/>
              <w:left w:val="single" w:color="D9DDE1" w:sz="4"/>
              <w:bottom w:val="single" w:color="D9DDE1" w:sz="4"/>
              <w:right w:val="single" w:color="D9DDE1" w:sz="4"/>
            </w:tcBorders>
            <w:shd w:fill="F4F6F8"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Medium-High</w:t>
            </w:r>
          </w:p>
        </w:tc>
        <w:tc>
          <w:tcPr>
            <w:tcW w:type="dxa" w:w="53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Environmental impact assessment; lined evaporation ponds; industrial brine reuse partnerships; regulatory compliance monitoring</w:t>
            </w:r>
          </w:p>
        </w:tc>
      </w:tr>
      <w:tr>
        <w:tc>
          <w:tcPr>
            <w:tcW w:type="dxa" w:w="28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Community acceptance &amp; behaviour change</w:t>
            </w:r>
          </w:p>
        </w:tc>
        <w:tc>
          <w:tcPr>
            <w:tcW w:type="dxa" w:w="1200"/>
            <w:tcBorders>
              <w:top w:val="single" w:color="D9DDE1" w:sz="4"/>
              <w:left w:val="single" w:color="D9DDE1" w:sz="4"/>
              <w:bottom w:val="single" w:color="D9DDE1" w:sz="4"/>
              <w:right w:val="single" w:color="D9DDE1" w:sz="4"/>
            </w:tcBorders>
            <w:shd w:fill="FFFFFF"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Medium</w:t>
            </w:r>
          </w:p>
        </w:tc>
        <w:tc>
          <w:tcPr>
            <w:tcW w:type="dxa" w:w="53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Extensive community engagement from project inception; water quality tasting sessions; public communication campaigns</w:t>
            </w:r>
          </w:p>
        </w:tc>
      </w:tr>
      <w:tr>
        <w:tc>
          <w:tcPr>
            <w:tcW w:type="dxa" w:w="28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Regulatory and permitting delays</w:t>
            </w:r>
          </w:p>
        </w:tc>
        <w:tc>
          <w:tcPr>
            <w:tcW w:type="dxa" w:w="1200"/>
            <w:tcBorders>
              <w:top w:val="single" w:color="D9DDE1" w:sz="4"/>
              <w:left w:val="single" w:color="D9DDE1" w:sz="4"/>
              <w:bottom w:val="single" w:color="D9DDE1" w:sz="4"/>
              <w:right w:val="single" w:color="D9DDE1" w:sz="4"/>
            </w:tcBorders>
            <w:shd w:fill="F4F6F8" w:val="clear"/>
            <w:tcMar>
              <w:top w:type="dxa" w:w="80"/>
              <w:left w:type="dxa" w:w="120"/>
              <w:bottom w:type="dxa" w:w="80"/>
              <w:right w:type="dxa" w:w="120"/>
            </w:tcMar>
            <w:vAlign w:val="center"/>
          </w:tcPr>
          <w:p>
            <w:pPr>
              <w:jc w:val="center"/>
            </w:pPr>
            <w:r>
              <w:rPr>
                <w:rFonts w:ascii="Arial" w:cs="Arial" w:eastAsia="Arial" w:hAnsi="Arial"/>
                <w:b/>
                <w:bCs/>
                <w:color w:val="388E3C"/>
                <w:sz w:val="19"/>
                <w:szCs w:val="19"/>
              </w:rPr>
              <w:t xml:space="preserve">Low-Medium</w:t>
            </w:r>
          </w:p>
        </w:tc>
        <w:tc>
          <w:tcPr>
            <w:tcW w:type="dxa" w:w="53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Early engagement with water regulatory authorities; dedicated project compliance officer; legal counsel on retainer</w:t>
            </w:r>
          </w:p>
        </w:tc>
      </w:tr>
      <w:tr>
        <w:tc>
          <w:tcPr>
            <w:tcW w:type="dxa" w:w="28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Climate-induced source water variability</w:t>
            </w:r>
          </w:p>
        </w:tc>
        <w:tc>
          <w:tcPr>
            <w:tcW w:type="dxa" w:w="1200"/>
            <w:tcBorders>
              <w:top w:val="single" w:color="D9DDE1" w:sz="4"/>
              <w:left w:val="single" w:color="D9DDE1" w:sz="4"/>
              <w:bottom w:val="single" w:color="D9DDE1" w:sz="4"/>
              <w:right w:val="single" w:color="D9DDE1" w:sz="4"/>
            </w:tcBorders>
            <w:shd w:fill="FFFFFF" w:val="clear"/>
            <w:tcMar>
              <w:top w:type="dxa" w:w="80"/>
              <w:left w:type="dxa" w:w="120"/>
              <w:bottom w:type="dxa" w:w="80"/>
              <w:right w:type="dxa" w:w="120"/>
            </w:tcMar>
            <w:vAlign w:val="center"/>
          </w:tcPr>
          <w:p>
            <w:pPr>
              <w:jc w:val="center"/>
            </w:pPr>
            <w:r>
              <w:rPr>
                <w:rFonts w:ascii="Arial" w:cs="Arial" w:eastAsia="Arial" w:hAnsi="Arial"/>
                <w:b/>
                <w:bCs/>
                <w:color w:val="D32F2F"/>
                <w:sz w:val="19"/>
                <w:szCs w:val="19"/>
              </w:rPr>
              <w:t xml:space="preserve">High</w:t>
            </w:r>
          </w:p>
        </w:tc>
        <w:tc>
          <w:tcPr>
            <w:tcW w:type="dxa" w:w="536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Multi-source intake design; real-time water quality monitoring; flexible membrane configuration for varying salinity</w:t>
            </w:r>
          </w:p>
        </w:tc>
      </w:tr>
      <w:tr>
        <w:tc>
          <w:tcPr>
            <w:tcW w:type="dxa" w:w="28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Long-term O&amp;M capacity gaps</w:t>
            </w:r>
          </w:p>
        </w:tc>
        <w:tc>
          <w:tcPr>
            <w:tcW w:type="dxa" w:w="1200"/>
            <w:tcBorders>
              <w:top w:val="single" w:color="D9DDE1" w:sz="4"/>
              <w:left w:val="single" w:color="D9DDE1" w:sz="4"/>
              <w:bottom w:val="single" w:color="D9DDE1" w:sz="4"/>
              <w:right w:val="single" w:color="D9DDE1" w:sz="4"/>
            </w:tcBorders>
            <w:shd w:fill="F4F6F8"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Medium</w:t>
            </w:r>
          </w:p>
        </w:tc>
        <w:tc>
          <w:tcPr>
            <w:tcW w:type="dxa" w:w="536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National operator certification programme; partnerships with technical institutes; remote diagnostics support contracts</w:t>
            </w:r>
          </w:p>
        </w:tc>
      </w:tr>
    </w:tbl>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9. Governance, Monitoring &amp; Evaluation</w:t>
      </w:r>
    </w:p>
    <w:p>
      <w:pPr>
        <w:pStyle w:val="Heading2"/>
        <w:spacing w:after="120" w:before="280"/>
      </w:pPr>
      <w:r>
        <w:rPr>
          <w:rFonts w:ascii="Arial" w:cs="Arial" w:eastAsia="Arial" w:hAnsi="Arial"/>
          <w:b/>
          <w:bCs/>
          <w:color w:val="2E75B6"/>
          <w:sz w:val="28"/>
          <w:szCs w:val="28"/>
        </w:rPr>
        <w:t xml:space="preserve">9.1  Institutional Structure</w:t>
      </w:r>
    </w:p>
    <w:p>
      <w:pPr>
        <w:spacing w:after="120" w:before="80"/>
        <w:jc w:val="left"/>
      </w:pPr>
      <w:r>
        <w:rPr>
          <w:rFonts w:ascii="Arial" w:cs="Arial" w:eastAsia="Arial" w:hAnsi="Arial"/>
          <w:color w:val="1C2A36"/>
          <w:sz w:val="22"/>
          <w:szCs w:val="22"/>
        </w:rPr>
        <w:t xml:space="preserve">The project shall be governed by a multi-level institutional framework:</w:t>
      </w:r>
    </w:p>
    <w:p>
      <w:pPr>
        <w:pStyle w:val="ListParagraph"/>
        <w:numPr>
          <w:ilvl w:val="0"/>
          <w:numId w:val="2"/>
        </w:numPr>
        <w:spacing w:after="60" w:before="60"/>
      </w:pPr>
      <w:r>
        <w:rPr>
          <w:rFonts w:ascii="Arial" w:cs="Arial" w:eastAsia="Arial" w:hAnsi="Arial"/>
          <w:color w:val="1C2A36"/>
          <w:sz w:val="22"/>
          <w:szCs w:val="22"/>
        </w:rPr>
        <w:t xml:space="preserve">Project Steering Committee:</w:t>
      </w:r>
      <w:r>
        <w:rPr>
          <w:rFonts w:ascii="Arial" w:cs="Arial" w:eastAsia="Arial" w:hAnsi="Arial"/>
          <w:color w:val="4A5568"/>
          <w:sz w:val="20"/>
          <w:szCs w:val="20"/>
        </w:rPr>
        <w:t xml:space="preserve"> Comprising municipal water authority, lead financier, NGO partner, and community representatives — meets quarterly to review performance and strategic direction</w:t>
      </w:r>
    </w:p>
    <w:p>
      <w:pPr>
        <w:pStyle w:val="ListParagraph"/>
        <w:numPr>
          <w:ilvl w:val="0"/>
          <w:numId w:val="2"/>
        </w:numPr>
        <w:spacing w:after="60" w:before="60"/>
      </w:pPr>
      <w:r>
        <w:rPr>
          <w:rFonts w:ascii="Arial" w:cs="Arial" w:eastAsia="Arial" w:hAnsi="Arial"/>
          <w:color w:val="1C2A36"/>
          <w:sz w:val="22"/>
          <w:szCs w:val="22"/>
        </w:rPr>
        <w:t xml:space="preserve">Technical Operations Unit:</w:t>
      </w:r>
      <w:r>
        <w:rPr>
          <w:rFonts w:ascii="Arial" w:cs="Arial" w:eastAsia="Arial" w:hAnsi="Arial"/>
          <w:color w:val="4A5568"/>
          <w:sz w:val="20"/>
          <w:szCs w:val="20"/>
        </w:rPr>
        <w:t xml:space="preserve"> Dedicated team of qualified water engineers, SCADA technicians, and O&amp;M specialists — responsible for day-to-day facility management</w:t>
      </w:r>
    </w:p>
    <w:p>
      <w:pPr>
        <w:pStyle w:val="ListParagraph"/>
        <w:numPr>
          <w:ilvl w:val="0"/>
          <w:numId w:val="2"/>
        </w:numPr>
        <w:spacing w:after="60" w:before="60"/>
      </w:pPr>
      <w:r>
        <w:rPr>
          <w:rFonts w:ascii="Arial" w:cs="Arial" w:eastAsia="Arial" w:hAnsi="Arial"/>
          <w:color w:val="1C2A36"/>
          <w:sz w:val="22"/>
          <w:szCs w:val="22"/>
        </w:rPr>
        <w:t xml:space="preserve">Community Water Management Committees:</w:t>
      </w:r>
      <w:r>
        <w:rPr>
          <w:rFonts w:ascii="Arial" w:cs="Arial" w:eastAsia="Arial" w:hAnsi="Arial"/>
          <w:color w:val="4A5568"/>
          <w:sz w:val="20"/>
          <w:szCs w:val="20"/>
        </w:rPr>
        <w:t xml:space="preserve"> Elected local committees for each Tier-3 kiosk network — accountable for community engagement, tariff collection, and minor maintenance</w:t>
      </w:r>
    </w:p>
    <w:p>
      <w:pPr>
        <w:pStyle w:val="ListParagraph"/>
        <w:numPr>
          <w:ilvl w:val="0"/>
          <w:numId w:val="2"/>
        </w:numPr>
        <w:spacing w:after="60" w:before="60"/>
      </w:pPr>
      <w:r>
        <w:rPr>
          <w:rFonts w:ascii="Arial" w:cs="Arial" w:eastAsia="Arial" w:hAnsi="Arial"/>
          <w:color w:val="1C2A36"/>
          <w:sz w:val="22"/>
          <w:szCs w:val="22"/>
        </w:rPr>
        <w:t xml:space="preserve">Independent Third-Party Auditor:</w:t>
      </w:r>
      <w:r>
        <w:rPr>
          <w:rFonts w:ascii="Arial" w:cs="Arial" w:eastAsia="Arial" w:hAnsi="Arial"/>
          <w:color w:val="4A5568"/>
          <w:sz w:val="20"/>
          <w:szCs w:val="20"/>
        </w:rPr>
        <w:t xml:space="preserve"> Annual technical audit of water quality, financial accounts, and SDG performance indicators</w:t>
      </w:r>
    </w:p>
    <w:p>
      <w:pPr>
        <w:pStyle w:val="Heading2"/>
        <w:spacing w:after="120" w:before="280"/>
      </w:pPr>
      <w:r>
        <w:rPr>
          <w:rFonts w:ascii="Arial" w:cs="Arial" w:eastAsia="Arial" w:hAnsi="Arial"/>
          <w:b/>
          <w:bCs/>
          <w:color w:val="2E75B6"/>
          <w:sz w:val="28"/>
          <w:szCs w:val="28"/>
        </w:rPr>
        <w:t xml:space="preserve">9.2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KPI</w:t>
            </w:r>
          </w:p>
        </w:tc>
        <w:tc>
          <w:tcPr>
            <w:tcW w:type="dxa" w:w="208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Target</w:t>
            </w:r>
          </w:p>
        </w:tc>
        <w:tc>
          <w:tcPr>
            <w:tcW w:type="dxa" w:w="408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Measurement Method</w:t>
            </w:r>
          </w:p>
        </w:tc>
      </w:tr>
      <w:tr>
        <w:tc>
          <w:tcPr>
            <w:tcW w:type="dxa" w:w="32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Percentage of target population with access to RO-purified water</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&gt;85% by Year 3</w:t>
            </w:r>
          </w:p>
        </w:tc>
        <w:tc>
          <w:tcPr>
            <w:tcW w:type="dxa" w:w="4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Household surveys; connection data; kiosk usage logs</w:t>
            </w:r>
          </w:p>
        </w:tc>
      </w:tr>
      <w:tr>
        <w:tc>
          <w:tcPr>
            <w:tcW w:type="dxa" w:w="32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Permeate TDS (mg/L)</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&lt;50 mg/L</w:t>
            </w:r>
          </w:p>
        </w:tc>
        <w:tc>
          <w:tcPr>
            <w:tcW w:type="dxa" w:w="4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Continuous online TDS monitoring; weekly lab sampling</w:t>
            </w:r>
          </w:p>
        </w:tc>
      </w:tr>
      <w:tr>
        <w:tc>
          <w:tcPr>
            <w:tcW w:type="dxa" w:w="32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System uptime / availability</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&gt;95%</w:t>
            </w:r>
          </w:p>
        </w:tc>
        <w:tc>
          <w:tcPr>
            <w:tcW w:type="dxa" w:w="4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SCADA logs; maintenance records</w:t>
            </w:r>
          </w:p>
        </w:tc>
      </w:tr>
      <w:tr>
        <w:tc>
          <w:tcPr>
            <w:tcW w:type="dxa" w:w="32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Specific Energy Consumption (kWh/m³)</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&lt;0.6 kWh/m³</w:t>
            </w:r>
          </w:p>
        </w:tc>
        <w:tc>
          <w:tcPr>
            <w:tcW w:type="dxa" w:w="4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Energy meters; monthly performance reports</w:t>
            </w:r>
          </w:p>
        </w:tc>
      </w:tr>
      <w:tr>
        <w:tc>
          <w:tcPr>
            <w:tcW w:type="dxa" w:w="32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Diarrhoeal disease incidence reduction</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&gt;30% vs. baseline</w:t>
            </w:r>
          </w:p>
        </w:tc>
        <w:tc>
          <w:tcPr>
            <w:tcW w:type="dxa" w:w="4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Health facility data; community health surveys</w:t>
            </w:r>
          </w:p>
        </w:tc>
      </w:tr>
      <w:tr>
        <w:tc>
          <w:tcPr>
            <w:tcW w:type="dxa" w:w="320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Female representation in management committees</w:t>
            </w:r>
          </w:p>
        </w:tc>
        <w:tc>
          <w:tcPr>
            <w:tcW w:type="dxa" w:w="2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&gt;40%</w:t>
            </w:r>
          </w:p>
        </w:tc>
        <w:tc>
          <w:tcPr>
            <w:tcW w:type="dxa" w:w="4080"/>
            <w:tcBorders>
              <w:top w:val="single" w:color="D9DDE1" w:sz="4"/>
              <w:left w:val="single" w:color="D9DDE1" w:sz="4"/>
              <w:bottom w:val="single" w:color="D9DDE1" w:sz="4"/>
              <w:right w:val="single" w:color="D9DDE1"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Committee membership records; annual gender audit</w:t>
            </w:r>
          </w:p>
        </w:tc>
      </w:tr>
      <w:tr>
        <w:tc>
          <w:tcPr>
            <w:tcW w:type="dxa" w:w="320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bCs/>
                <w:color w:val="1C2A36"/>
                <w:sz w:val="21"/>
                <w:szCs w:val="21"/>
              </w:rPr>
              <w:t xml:space="preserve">Plastic bottle waste reduction</w:t>
            </w:r>
          </w:p>
        </w:tc>
        <w:tc>
          <w:tcPr>
            <w:tcW w:type="dxa" w:w="2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center"/>
            </w:pPr>
            <w:r>
              <w:rPr>
                <w:rFonts w:ascii="Arial" w:cs="Arial" w:eastAsia="Arial" w:hAnsi="Arial"/>
                <w:b/>
                <w:bCs/>
                <w:color w:val="009344"/>
                <w:sz w:val="21"/>
                <w:szCs w:val="21"/>
              </w:rPr>
              <w:t xml:space="preserve">&gt;50% household reduction</w:t>
            </w:r>
          </w:p>
        </w:tc>
        <w:tc>
          <w:tcPr>
            <w:tcW w:type="dxa" w:w="4080"/>
            <w:tcBorders>
              <w:top w:val="single" w:color="D9DDE1" w:sz="4"/>
              <w:left w:val="single" w:color="D9DDE1" w:sz="4"/>
              <w:bottom w:val="single" w:color="D9DDE1" w:sz="4"/>
              <w:right w:val="single" w:color="D9DDE1" w:sz="4"/>
            </w:tcBorders>
            <w:shd w:fill="F4F6F8" w:val="clear"/>
            <w:tcMar>
              <w:top w:type="dxa" w:w="80"/>
              <w:left w:type="dxa" w:w="150"/>
              <w:bottom w:type="dxa" w:w="80"/>
              <w:right w:type="dxa" w:w="150"/>
            </w:tcMar>
            <w:vAlign w:val="center"/>
          </w:tcPr>
          <w:p>
            <w:pPr>
              <w:jc w:val="left"/>
            </w:pPr>
            <w:r>
              <w:rPr>
                <w:rFonts w:ascii="Arial" w:cs="Arial" w:eastAsia="Arial" w:hAnsi="Arial"/>
                <w:b w:val="false"/>
                <w:bCs w:val="false"/>
                <w:color w:val="4A5568"/>
                <w:sz w:val="21"/>
                <w:szCs w:val="21"/>
              </w:rPr>
              <w:t xml:space="preserve">Waste audits; household surveys</w:t>
            </w:r>
          </w:p>
        </w:tc>
      </w:tr>
    </w:tbl>
    <w:p>
      <w:pPr>
        <w:spacing w:after="0" w:before="3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10. Illustrative Case References</w:t>
      </w:r>
    </w:p>
    <w:p>
      <w:pPr>
        <w:pStyle w:val="Heading2"/>
        <w:spacing w:after="120" w:before="280"/>
      </w:pPr>
      <w:r>
        <w:rPr>
          <w:rFonts w:ascii="Arial" w:cs="Arial" w:eastAsia="Arial" w:hAnsi="Arial"/>
          <w:b/>
          <w:bCs/>
          <w:color w:val="2E75B6"/>
          <w:sz w:val="28"/>
          <w:szCs w:val="28"/>
        </w:rPr>
        <w:t xml:space="preserve">10.1  Singapore — NEWater Programme</w:t>
      </w:r>
    </w:p>
    <w:p>
      <w:pPr>
        <w:spacing w:after="120" w:before="80"/>
        <w:jc w:val="both"/>
      </w:pPr>
      <w:r>
        <w:rPr>
          <w:rFonts w:ascii="Arial" w:cs="Arial" w:eastAsia="Arial" w:hAnsi="Arial"/>
          <w:color w:val="1C2A36"/>
          <w:sz w:val="22"/>
          <w:szCs w:val="22"/>
        </w:rPr>
        <w:t xml:space="preserve">Singapore's NEWater initiative represents one of the world's most successful large-scale water purification programmes. Combining advanced membrane bioreactor treatment with reverse osmosis and UV disinfection, NEWater currently provides up to 40% of Singapore's total water demand. The programme demonstrates that a water-scarce city-state can achieve full water self-sufficiency through technological innovation, regulatory excellence, and long-term investment. By 2060, NEWater and desalination are projected to meet 85% of Singapore's water needs.</w:t>
      </w:r>
    </w:p>
    <w:p>
      <w:pPr>
        <w:pStyle w:val="Heading2"/>
        <w:spacing w:after="120" w:before="280"/>
      </w:pPr>
      <w:r>
        <w:rPr>
          <w:rFonts w:ascii="Arial" w:cs="Arial" w:eastAsia="Arial" w:hAnsi="Arial"/>
          <w:b/>
          <w:bCs/>
          <w:color w:val="2E75B6"/>
          <w:sz w:val="28"/>
          <w:szCs w:val="28"/>
        </w:rPr>
        <w:t xml:space="preserve">10.2  El Paso, Texas (USA) — Kay Bailey Hutchison Desalination Plant</w:t>
      </w:r>
    </w:p>
    <w:p>
      <w:pPr>
        <w:spacing w:after="120" w:before="80"/>
        <w:jc w:val="both"/>
      </w:pPr>
      <w:r>
        <w:rPr>
          <w:rFonts w:ascii="Arial" w:cs="Arial" w:eastAsia="Arial" w:hAnsi="Arial"/>
          <w:color w:val="1C2A36"/>
          <w:sz w:val="22"/>
          <w:szCs w:val="22"/>
        </w:rPr>
        <w:t xml:space="preserve">The Kay Bailey Hutchison Desalination Plant, commissioned in 2007, processes up to 27 million gallons per day of brackish groundwater through reverse osmosis, serving the El Paso region. The plant has consistently produced water meeting or exceeding all US EPA drinking water standards at a competitive cost, while significantly reducing dependence on the Rio Grande surface water system. It stands as a model for inland desalination applied to municipal supply.</w:t>
      </w:r>
    </w:p>
    <w:p>
      <w:pPr>
        <w:pStyle w:val="Heading2"/>
        <w:spacing w:after="120" w:before="280"/>
      </w:pPr>
      <w:r>
        <w:rPr>
          <w:rFonts w:ascii="Arial" w:cs="Arial" w:eastAsia="Arial" w:hAnsi="Arial"/>
          <w:b/>
          <w:bCs/>
          <w:color w:val="2E75B6"/>
          <w:sz w:val="28"/>
          <w:szCs w:val="28"/>
        </w:rPr>
        <w:t xml:space="preserve">10.3  Chennai, India — Community RO Kiosks</w:t>
      </w:r>
    </w:p>
    <w:p>
      <w:pPr>
        <w:spacing w:after="120" w:before="80"/>
        <w:jc w:val="both"/>
      </w:pPr>
      <w:r>
        <w:rPr>
          <w:rFonts w:ascii="Arial" w:cs="Arial" w:eastAsia="Arial" w:hAnsi="Arial"/>
          <w:color w:val="1C2A36"/>
          <w:sz w:val="22"/>
          <w:szCs w:val="22"/>
        </w:rPr>
        <w:t xml:space="preserve">Following severe groundwater contamination crises in peri-urban Chennai, a network of over 900 community RO water ATMs was deployed across informal settlements, providing purified water at Rs. 3–5 per litre — a fraction of bottled water costs. The initiative, managed through a public-private partnership, reduced waterborne disease incidence by an estimated 35% in served communities and demonstrably improved household health expenditure profiles.</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11. Conclusions &amp; Recommendations</w:t>
      </w:r>
    </w:p>
    <w:p>
      <w:pPr>
        <w:spacing w:after="120" w:before="80"/>
        <w:jc w:val="both"/>
      </w:pPr>
      <w:r>
        <w:rPr>
          <w:rFonts w:ascii="Arial" w:cs="Arial" w:eastAsia="Arial" w:hAnsi="Arial"/>
          <w:color w:val="1C2A36"/>
          <w:sz w:val="22"/>
          <w:szCs w:val="22"/>
        </w:rPr>
        <w:t xml:space="preserve">The global imperative for clean, safe, and equitably distributed drinking water has never been more urgent. Reverse Osmosis technology, applied through a well-designed, community-centred, and SDG-aligned framework, offers a robust and proven response to this challenge. This project demonstrates that technical excellence, social equity, financial sustainability, and environmental responsibility are not competing priorities — they are mutually reinforcing pillars of transformative water infrastructure.</w:t>
      </w:r>
    </w:p>
    <w:p>
      <w:pPr>
        <w:spacing w:after="120" w:before="80"/>
        <w:jc w:val="left"/>
      </w:pPr>
      <w:r>
        <w:rPr>
          <w:rFonts w:ascii="Arial" w:cs="Arial" w:eastAsia="Arial" w:hAnsi="Arial"/>
          <w:color w:val="1C2A36"/>
          <w:sz w:val="22"/>
          <w:szCs w:val="22"/>
        </w:rPr>
        <w:t xml:space="preserve">The following strategic recommendations are made to project stakeholders, policymakers, and financing partners:</w:t>
      </w:r>
    </w:p>
    <w:p>
      <w:pPr>
        <w:spacing w:after="0" w:before="80"/>
      </w:pPr>
    </w:p>
    <w:p>
      <w:pPr>
        <w:pStyle w:val="ListParagraph"/>
        <w:numPr>
          <w:ilvl w:val="0"/>
          <w:numId w:val="3"/>
        </w:numPr>
        <w:spacing w:after="80" w:before="80"/>
      </w:pPr>
      <w:r>
        <w:rPr>
          <w:rFonts w:ascii="Arial" w:cs="Arial" w:eastAsia="Arial" w:hAnsi="Arial"/>
          <w:b/>
          <w:bCs/>
          <w:color w:val="1A3A5C"/>
          <w:sz w:val="22"/>
          <w:szCs w:val="22"/>
        </w:rPr>
        <w:t xml:space="preserve">Prioritize the most vulnerable — </w:t>
      </w:r>
      <w:r>
        <w:rPr>
          <w:rFonts w:ascii="Arial" w:cs="Arial" w:eastAsia="Arial" w:hAnsi="Arial"/>
          <w:color w:val="1C2A36"/>
          <w:sz w:val="22"/>
          <w:szCs w:val="22"/>
        </w:rPr>
        <w:t xml:space="preserve">Begin deployment in communities with the greatest documented need — those with confirmed source water contamination, lowest income levels, and highest rates of waterborne disease.</w:t>
      </w:r>
    </w:p>
    <w:p>
      <w:pPr>
        <w:pStyle w:val="ListParagraph"/>
        <w:numPr>
          <w:ilvl w:val="0"/>
          <w:numId w:val="3"/>
        </w:numPr>
        <w:spacing w:after="80" w:before="80"/>
      </w:pPr>
      <w:r>
        <w:rPr>
          <w:rFonts w:ascii="Arial" w:cs="Arial" w:eastAsia="Arial" w:hAnsi="Arial"/>
          <w:b/>
          <w:bCs/>
          <w:color w:val="1A3A5C"/>
          <w:sz w:val="22"/>
          <w:szCs w:val="22"/>
        </w:rPr>
        <w:t xml:space="preserve">Invest in capacity building from Day 1 — </w:t>
      </w:r>
      <w:r>
        <w:rPr>
          <w:rFonts w:ascii="Arial" w:cs="Arial" w:eastAsia="Arial" w:hAnsi="Arial"/>
          <w:color w:val="1C2A36"/>
          <w:sz w:val="22"/>
          <w:szCs w:val="22"/>
        </w:rPr>
        <w:t xml:space="preserve">Local operator training and community ownership are as critical as the technology itself. Sustainable water systems require sustained human capital.</w:t>
      </w:r>
    </w:p>
    <w:p>
      <w:pPr>
        <w:pStyle w:val="ListParagraph"/>
        <w:numPr>
          <w:ilvl w:val="0"/>
          <w:numId w:val="3"/>
        </w:numPr>
        <w:spacing w:after="80" w:before="80"/>
      </w:pPr>
      <w:r>
        <w:rPr>
          <w:rFonts w:ascii="Arial" w:cs="Arial" w:eastAsia="Arial" w:hAnsi="Arial"/>
          <w:b/>
          <w:bCs/>
          <w:color w:val="1A3A5C"/>
          <w:sz w:val="22"/>
          <w:szCs w:val="22"/>
        </w:rPr>
        <w:t xml:space="preserve">Adopt integrated SDG reporting — </w:t>
      </w:r>
      <w:r>
        <w:rPr>
          <w:rFonts w:ascii="Arial" w:cs="Arial" w:eastAsia="Arial" w:hAnsi="Arial"/>
          <w:color w:val="1C2A36"/>
          <w:sz w:val="22"/>
          <w:szCs w:val="22"/>
        </w:rPr>
        <w:t xml:space="preserve">Embed UN SDG indicator tracking into project management information systems from inception, enabling transparent and credible impact reporting.</w:t>
      </w:r>
    </w:p>
    <w:p>
      <w:pPr>
        <w:pStyle w:val="ListParagraph"/>
        <w:numPr>
          <w:ilvl w:val="0"/>
          <w:numId w:val="3"/>
        </w:numPr>
        <w:spacing w:after="80" w:before="80"/>
      </w:pPr>
      <w:r>
        <w:rPr>
          <w:rFonts w:ascii="Arial" w:cs="Arial" w:eastAsia="Arial" w:hAnsi="Arial"/>
          <w:b/>
          <w:bCs/>
          <w:color w:val="1A3A5C"/>
          <w:sz w:val="22"/>
          <w:szCs w:val="22"/>
        </w:rPr>
        <w:t xml:space="preserve">Pursue blended finance models — </w:t>
      </w:r>
      <w:r>
        <w:rPr>
          <w:rFonts w:ascii="Arial" w:cs="Arial" w:eastAsia="Arial" w:hAnsi="Arial"/>
          <w:color w:val="1C2A36"/>
          <w:sz w:val="22"/>
          <w:szCs w:val="22"/>
        </w:rPr>
        <w:t xml:space="preserve">No single funding source will suffice. Engage development banks, government, private sector, and philanthropic capital through structured blended finance vehicles.</w:t>
      </w:r>
    </w:p>
    <w:p>
      <w:pPr>
        <w:pStyle w:val="ListParagraph"/>
        <w:numPr>
          <w:ilvl w:val="0"/>
          <w:numId w:val="3"/>
        </w:numPr>
        <w:spacing w:after="80" w:before="80"/>
      </w:pPr>
      <w:r>
        <w:rPr>
          <w:rFonts w:ascii="Arial" w:cs="Arial" w:eastAsia="Arial" w:hAnsi="Arial"/>
          <w:b/>
          <w:bCs/>
          <w:color w:val="1A3A5C"/>
          <w:sz w:val="22"/>
          <w:szCs w:val="22"/>
        </w:rPr>
        <w:t xml:space="preserve">Plan for the long-term — </w:t>
      </w:r>
      <w:r>
        <w:rPr>
          <w:rFonts w:ascii="Arial" w:cs="Arial" w:eastAsia="Arial" w:hAnsi="Arial"/>
          <w:color w:val="1C2A36"/>
          <w:sz w:val="22"/>
          <w:szCs w:val="22"/>
        </w:rPr>
        <w:t xml:space="preserve">Design facilities for 25-year operational lifespans. Allocate adequate reserves for membrane replacement (every 5–7 years) and technology upgrade cycles.</w:t>
      </w:r>
    </w:p>
    <w:p>
      <w:pPr>
        <w:pStyle w:val="ListParagraph"/>
        <w:numPr>
          <w:ilvl w:val="0"/>
          <w:numId w:val="3"/>
        </w:numPr>
        <w:spacing w:after="80" w:before="80"/>
      </w:pPr>
      <w:r>
        <w:rPr>
          <w:rFonts w:ascii="Arial" w:cs="Arial" w:eastAsia="Arial" w:hAnsi="Arial"/>
          <w:b/>
          <w:bCs/>
          <w:color w:val="1A3A5C"/>
          <w:sz w:val="22"/>
          <w:szCs w:val="22"/>
        </w:rPr>
        <w:t xml:space="preserve">Share knowledge openly — </w:t>
      </w:r>
      <w:r>
        <w:rPr>
          <w:rFonts w:ascii="Arial" w:cs="Arial" w:eastAsia="Arial" w:hAnsi="Arial"/>
          <w:color w:val="1C2A36"/>
          <w:sz w:val="22"/>
          <w:szCs w:val="22"/>
        </w:rPr>
        <w:t xml:space="preserve">Publish performance data, lessons learned, and operational protocols to accelerate replication across cities and countries facing similar challenges.</w:t>
      </w:r>
    </w:p>
    <w:p>
      <w:pPr>
        <w:spacing w:after="0" w:before="300"/>
      </w:pPr>
    </w:p>
    <w:p>
      <w:pPr>
        <w:shd w:fill="1A3A5C" w:val="clear"/>
        <w:spacing w:after="80" w:before="80"/>
        <w:ind w:left="180" w:right="180"/>
      </w:pPr>
      <w:r>
        <w:rPr>
          <w:rFonts w:ascii="Arial" w:cs="Arial" w:eastAsia="Arial" w:hAnsi="Arial"/>
          <w:b/>
          <w:bCs/>
          <w:color w:val="FFFFFF"/>
          <w:sz w:val="22"/>
          <w:szCs w:val="22"/>
        </w:rPr>
        <w:t xml:space="preserve">   "The path to a water-secure future for all begins with bold, well-engineered, and equitably designed infrastructure. This initiative is that path."</w:t>
      </w:r>
    </w:p>
    <w:p>
      <w:pPr>
        <w:spacing w:after="0" w:before="200"/>
      </w:pPr>
    </w:p>
    <w:p>
      <w:r>
        <w:br w:type="page"/>
      </w:r>
    </w:p>
    <w:p>
      <w:pPr>
        <w:pStyle w:val="Heading1"/>
        <w:pBdr>
          <w:bottom w:val="single" w:color="2E75B6" w:sz="8" w:space="6"/>
        </w:pBdr>
        <w:spacing w:after="160" w:before="400"/>
      </w:pPr>
      <w:r>
        <w:rPr>
          <w:rFonts w:ascii="Arial" w:cs="Arial" w:eastAsia="Arial" w:hAnsi="Arial"/>
          <w:b/>
          <w:bCs/>
          <w:color w:val="1A3A5C"/>
          <w:sz w:val="36"/>
          <w:szCs w:val="36"/>
        </w:rPr>
        <w:t xml:space="preserve">References &amp; Further Reading</w:t>
      </w:r>
    </w:p>
    <w:p>
      <w:pPr>
        <w:spacing w:after="120" w:before="80"/>
        <w:jc w:val="left"/>
      </w:pPr>
      <w:r>
        <w:rPr>
          <w:rFonts w:ascii="Arial" w:cs="Arial" w:eastAsia="Arial" w:hAnsi="Arial"/>
          <w:color w:val="4A5568"/>
          <w:sz w:val="22"/>
          <w:szCs w:val="22"/>
        </w:rPr>
        <w:t xml:space="preserve">The following sources informed the technical, policy, and strategic content of this report:</w:t>
      </w:r>
    </w:p>
    <w:p>
      <w:pPr>
        <w:spacing w:after="0" w:before="80"/>
      </w:pPr>
    </w:p>
    <w:p>
      <w:pPr>
        <w:pStyle w:val="ListParagraph"/>
        <w:numPr>
          <w:ilvl w:val="0"/>
          <w:numId w:val="3"/>
        </w:numPr>
        <w:spacing w:after="60" w:before="60"/>
      </w:pPr>
      <w:r>
        <w:rPr>
          <w:rFonts w:ascii="Arial" w:cs="Arial" w:eastAsia="Arial" w:hAnsi="Arial"/>
          <w:i/>
          <w:iCs/>
          <w:color w:val="4A5568"/>
          <w:sz w:val="20"/>
          <w:szCs w:val="20"/>
        </w:rPr>
        <w:t xml:space="preserve">World Health Organization (2022). Guidelines for Drinking-water Quality, 4th Edition with 1st Addendum. Geneva: WHO.</w:t>
      </w:r>
    </w:p>
    <w:p>
      <w:pPr>
        <w:pStyle w:val="ListParagraph"/>
        <w:numPr>
          <w:ilvl w:val="0"/>
          <w:numId w:val="3"/>
        </w:numPr>
        <w:spacing w:after="60" w:before="60"/>
      </w:pPr>
      <w:r>
        <w:rPr>
          <w:rFonts w:ascii="Arial" w:cs="Arial" w:eastAsia="Arial" w:hAnsi="Arial"/>
          <w:i/>
          <w:iCs/>
          <w:color w:val="4A5568"/>
          <w:sz w:val="20"/>
          <w:szCs w:val="20"/>
        </w:rPr>
        <w:t xml:space="preserve">United Nations (2015). Transforming our world: the 2030 Agenda for Sustainable Development. Resolution A/RES/70/1.</w:t>
      </w:r>
    </w:p>
    <w:p>
      <w:pPr>
        <w:pStyle w:val="ListParagraph"/>
        <w:numPr>
          <w:ilvl w:val="0"/>
          <w:numId w:val="3"/>
        </w:numPr>
        <w:spacing w:after="60" w:before="60"/>
      </w:pPr>
      <w:r>
        <w:rPr>
          <w:rFonts w:ascii="Arial" w:cs="Arial" w:eastAsia="Arial" w:hAnsi="Arial"/>
          <w:i/>
          <w:iCs/>
          <w:color w:val="4A5568"/>
          <w:sz w:val="20"/>
          <w:szCs w:val="20"/>
        </w:rPr>
        <w:t xml:space="preserve">UNESCO-IHE (2023). The United Nations World Water Development Report 2023: Partnerships and Cooperation for Water. Paris: UNESCO.</w:t>
      </w:r>
    </w:p>
    <w:p>
      <w:pPr>
        <w:pStyle w:val="ListParagraph"/>
        <w:numPr>
          <w:ilvl w:val="0"/>
          <w:numId w:val="3"/>
        </w:numPr>
        <w:spacing w:after="60" w:before="60"/>
      </w:pPr>
      <w:r>
        <w:rPr>
          <w:rFonts w:ascii="Arial" w:cs="Arial" w:eastAsia="Arial" w:hAnsi="Arial"/>
          <w:i/>
          <w:iCs/>
          <w:color w:val="4A5568"/>
          <w:sz w:val="20"/>
          <w:szCs w:val="20"/>
        </w:rPr>
        <w:t xml:space="preserve">Shannon, M.A. et al. (2008). Science and technology for water purification in the coming decades. Nature, 452, 301–310.</w:t>
      </w:r>
    </w:p>
    <w:p>
      <w:pPr>
        <w:pStyle w:val="ListParagraph"/>
        <w:numPr>
          <w:ilvl w:val="0"/>
          <w:numId w:val="3"/>
        </w:numPr>
        <w:spacing w:after="60" w:before="60"/>
      </w:pPr>
      <w:r>
        <w:rPr>
          <w:rFonts w:ascii="Arial" w:cs="Arial" w:eastAsia="Arial" w:hAnsi="Arial"/>
          <w:i/>
          <w:iCs/>
          <w:color w:val="4A5568"/>
          <w:sz w:val="20"/>
          <w:szCs w:val="20"/>
        </w:rPr>
        <w:t xml:space="preserve">International Desalination Association (IDA) (2024). Global Desalination Report. Topsfield, MA: IDA.</w:t>
      </w:r>
    </w:p>
    <w:p>
      <w:pPr>
        <w:pStyle w:val="ListParagraph"/>
        <w:numPr>
          <w:ilvl w:val="0"/>
          <w:numId w:val="3"/>
        </w:numPr>
        <w:spacing w:after="60" w:before="60"/>
      </w:pPr>
      <w:r>
        <w:rPr>
          <w:rFonts w:ascii="Arial" w:cs="Arial" w:eastAsia="Arial" w:hAnsi="Arial"/>
          <w:i/>
          <w:iCs/>
          <w:color w:val="4A5568"/>
          <w:sz w:val="20"/>
          <w:szCs w:val="20"/>
        </w:rPr>
        <w:t xml:space="preserve">Public Utilities Board Singapore (2023). Annual Report 2022/23: Water for All, Cherish Water. Singapore: PUB.</w:t>
      </w:r>
    </w:p>
    <w:p>
      <w:pPr>
        <w:pStyle w:val="ListParagraph"/>
        <w:numPr>
          <w:ilvl w:val="0"/>
          <w:numId w:val="3"/>
        </w:numPr>
        <w:spacing w:after="60" w:before="60"/>
      </w:pPr>
      <w:r>
        <w:rPr>
          <w:rFonts w:ascii="Arial" w:cs="Arial" w:eastAsia="Arial" w:hAnsi="Arial"/>
          <w:i/>
          <w:iCs/>
          <w:color w:val="4A5568"/>
          <w:sz w:val="20"/>
          <w:szCs w:val="20"/>
        </w:rPr>
        <w:t xml:space="preserve">UN-Water (2023). Summary Progress Update 2021: SDG 6 — Water and Sanitation for All. Geneva: UN-Water.</w:t>
      </w:r>
    </w:p>
    <w:p>
      <w:pPr>
        <w:pStyle w:val="ListParagraph"/>
        <w:numPr>
          <w:ilvl w:val="0"/>
          <w:numId w:val="3"/>
        </w:numPr>
        <w:spacing w:after="60" w:before="60"/>
      </w:pPr>
      <w:r>
        <w:rPr>
          <w:rFonts w:ascii="Arial" w:cs="Arial" w:eastAsia="Arial" w:hAnsi="Arial"/>
          <w:i/>
          <w:iCs/>
          <w:color w:val="4A5568"/>
          <w:sz w:val="20"/>
          <w:szCs w:val="20"/>
        </w:rPr>
        <w:t xml:space="preserve">El Paso Water (2022). Kay Bailey Hutchison Desalination Plant — Performance and Operations Report. El Paso, TX.</w:t>
      </w:r>
    </w:p>
    <w:p>
      <w:pPr>
        <w:pStyle w:val="ListParagraph"/>
        <w:numPr>
          <w:ilvl w:val="0"/>
          <w:numId w:val="3"/>
        </w:numPr>
        <w:spacing w:after="60" w:before="60"/>
      </w:pPr>
      <w:r>
        <w:rPr>
          <w:rFonts w:ascii="Arial" w:cs="Arial" w:eastAsia="Arial" w:hAnsi="Arial"/>
          <w:i/>
          <w:iCs/>
          <w:color w:val="4A5568"/>
          <w:sz w:val="20"/>
          <w:szCs w:val="20"/>
        </w:rPr>
        <w:t xml:space="preserve">UNICEF &amp; WHO Joint Monitoring Programme (2023). Progress on household drinking water, sanitation and hygiene 2000–2022.</w:t>
      </w:r>
    </w:p>
    <w:p>
      <w:pPr>
        <w:pStyle w:val="ListParagraph"/>
        <w:numPr>
          <w:ilvl w:val="0"/>
          <w:numId w:val="3"/>
        </w:numPr>
        <w:spacing w:after="60" w:before="60"/>
      </w:pPr>
      <w:r>
        <w:rPr>
          <w:rFonts w:ascii="Arial" w:cs="Arial" w:eastAsia="Arial" w:hAnsi="Arial"/>
          <w:i/>
          <w:iCs/>
          <w:color w:val="4A5568"/>
          <w:sz w:val="20"/>
          <w:szCs w:val="20"/>
        </w:rPr>
        <w:t xml:space="preserve">Elimelech, M. &amp; Phillip, W.A. (2011). The Future of Seawater Desalination: Energy, Technology, and the Environment. Science, 333(6043), 712–717.</w:t>
      </w:r>
    </w:p>
    <w:p>
      <w:pPr>
        <w:spacing w:after="0" w:before="300"/>
      </w:pPr>
    </w:p>
    <w:p>
      <w:pPr>
        <w:spacing w:after="40" w:before="200"/>
        <w:jc w:val="center"/>
      </w:pPr>
      <w:r>
        <w:rPr>
          <w:rFonts w:ascii="Arial" w:cs="Arial" w:eastAsia="Arial" w:hAnsi="Arial"/>
          <w:b/>
          <w:bCs/>
          <w:caps/>
          <w:color w:val="2E75B6"/>
          <w:spacing w:val="80"/>
          <w:sz w:val="22"/>
          <w:szCs w:val="22"/>
        </w:rPr>
        <w:t xml:space="preserve">— END OF REPORT —</w:t>
      </w:r>
    </w:p>
    <w:p>
      <w:pPr>
        <w:spacing w:after="0" w:before="0"/>
        <w:jc w:val="center"/>
      </w:pPr>
      <w:r>
        <w:rPr>
          <w:rFonts w:ascii="Arial" w:cs="Arial" w:eastAsia="Arial" w:hAnsi="Arial"/>
          <w:color w:val="D9DDE1"/>
          <w:sz w:val="18"/>
          <w:szCs w:val="18"/>
        </w:rPr>
        <w:t xml:space="preserve">Urban Water Solutions Initiative  |  UWSI-RO-2025-001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4A5568"/>
        <w:sz w:val="17"/>
        <w:szCs w:val="17"/>
      </w:rPr>
      <w:t xml:space="preserve">Aligned with UN Sustainable Development Goals | © 2025 Urban Water Solutions Initiative</w:t>
    </w:r>
    <w:r>
      <w:rPr>
        <w:rFonts w:ascii="Arial" w:cs="Arial" w:eastAsia="Arial" w:hAnsi="Arial"/>
        <w:color w:val="4A5568"/>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60"/>
    </w:pPr>
    <w:r>
      <w:rPr>
        <w:rFonts w:ascii="Arial" w:cs="Arial" w:eastAsia="Arial" w:hAnsi="Arial"/>
        <w:color w:val="2E75B6"/>
        <w:sz w:val="18"/>
        <w:szCs w:val="18"/>
      </w:rPr>
      <w:t xml:space="preserve">TECHNICAL REPORT — URBAN REVERSE OSMOSIS WATER FILTRATION</w:t>
    </w:r>
    <w:r>
      <w:rPr>
        <w:rFonts w:ascii="Arial" w:cs="Arial" w:eastAsia="Arial" w:hAnsi="Arial"/>
        <w:sz w:val="18"/>
        <w:szCs w:val="18"/>
      </w:rPr>
      <w:t xml:space="preserve">	</w:t>
    </w:r>
    <w:r>
      <w:rPr>
        <w:rFonts w:ascii="Arial" w:cs="Arial" w:eastAsia="Arial" w:hAnsi="Arial"/>
        <w:i/>
        <w:iCs/>
        <w:color w:val="D9DDE1"/>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10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2026-06-03T04:05:07.376Z</dcterms:created>
  <dcterms:modified xsi:type="dcterms:W3CDTF">2026-06-03T04:05:07.376Z</dcterms:modified>
</cp:coreProperties>
</file>

<file path=docProps/custom.xml><?xml version="1.0" encoding="utf-8"?>
<Properties xmlns="http://schemas.openxmlformats.org/officeDocument/2006/custom-properties" xmlns:vt="http://schemas.openxmlformats.org/officeDocument/2006/docPropsVTypes"/>
</file>