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Arial Black" w:hAnsi="Arial Black"/>
          <w:color w:val="0F3C3C"/>
          <w:sz w:val="48"/>
        </w:rPr>
        <w:t>SISTEMA NOVU</w:t>
        <w:br/>
      </w:r>
      <w:r>
        <w:rPr>
          <w:rFonts w:ascii="Arial" w:hAnsi="Arial"/>
          <w:b/>
          <w:color w:val="166534"/>
          <w:sz w:val="30"/>
        </w:rPr>
        <w:t>MANUAL DE USUARIO FUNCIONAL</w:t>
        <w:br/>
      </w:r>
      <w:r>
        <w:rPr>
          <w:color w:val="64748B"/>
          <w:sz w:val="19"/>
        </w:rPr>
        <w:t>Plataforma de Gestión Integral de Comisiones Inmobiliarias, Cartera y KPIs</w:t>
        <w:br/>
        <w:t>Versión 1.1 — Documento Operativo y de Capacitación Empresarial</w:t>
      </w:r>
    </w:p>
    <w:p>
      <w:pPr>
        <w:spacing w:after="240"/>
      </w:pPr>
    </w:p>
    <w:p>
      <w:pPr>
        <w:pStyle w:val="Heading1"/>
        <w:keepNext/>
        <w:spacing w:before="280" w:after="80"/>
      </w:pPr>
      <w:r>
        <w:rPr>
          <w:rFonts w:ascii="Arial" w:hAnsi="Arial"/>
          <w:b/>
          <w:color w:val="0F3C3C"/>
          <w:sz w:val="32"/>
        </w:rPr>
        <w:t>1. Introducción</w:t>
      </w:r>
    </w:p>
    <w:p>
      <w:pPr>
        <w:pStyle w:val="Heading2"/>
        <w:keepNext/>
        <w:spacing w:before="200" w:after="80"/>
      </w:pPr>
      <w:r>
        <w:rPr>
          <w:rFonts w:ascii="Arial" w:hAnsi="Arial"/>
          <w:b/>
          <w:color w:val="166534"/>
          <w:sz w:val="26"/>
        </w:rPr>
        <w:t>1.1 Objetivo del Sistema</w:t>
      </w:r>
    </w:p>
    <w:p>
      <w:r>
        <w:t>El Sistema NOVU es una solución empresarial de alta gama diseñada para centralizar, auditar y agilizar todo el ciclo operativo de comisiones por comercialización inmobiliaria. La plataforma abarca desde el registro inicial de la venta (Contratos, Escrituras, Bonos y Cancelaciones), la verificación individual de porcentajes por parte de los asesores y gerentes, la validación y autorización de pago por Dirección y Administración, hasta el control financiero de préstamos y abonos (Cartera de Deudores) y el análisis ejecutivo mediante Dashboards de Indicadores Clave de Desempeño (KPIs).</w:t>
      </w:r>
    </w:p>
    <w:p>
      <w:pPr>
        <w:pStyle w:val="Heading2"/>
        <w:keepNext/>
        <w:spacing w:before="200" w:after="80"/>
      </w:pPr>
      <w:r>
        <w:rPr>
          <w:rFonts w:ascii="Arial" w:hAnsi="Arial"/>
          <w:b/>
          <w:color w:val="166534"/>
          <w:sz w:val="26"/>
        </w:rPr>
        <w:t>1.2 Alcance Funcional</w:t>
      </w:r>
    </w:p>
    <w:p>
      <w:pPr>
        <w:pStyle w:val="ListBullet"/>
        <w:spacing w:before="40" w:after="40"/>
      </w:pPr>
      <w:r>
        <w:rPr>
          <w:b/>
          <w:color w:val="0F172A"/>
        </w:rPr>
        <w:t xml:space="preserve">Control de Acceso y Seguridad: </w:t>
      </w:r>
      <w:r>
        <w:rPr>
          <w:color w:val="334155"/>
        </w:rPr>
        <w:t>Autenticación segura por roles con permisos segmentados.</w:t>
      </w:r>
    </w:p>
    <w:p>
      <w:pPr>
        <w:pStyle w:val="ListBullet"/>
        <w:spacing w:before="40" w:after="40"/>
      </w:pPr>
      <w:r>
        <w:rPr>
          <w:b/>
          <w:color w:val="0F172A"/>
        </w:rPr>
        <w:t xml:space="preserve">Sincronización con ERP Maestro (V10 / Enkontrol): </w:t>
      </w:r>
      <w:r>
        <w:rPr>
          <w:color w:val="334155"/>
        </w:rPr>
        <w:t>Integración de catálogos maestros de compañías, desarrollos, ubicaciones y expedientes de clientes.</w:t>
      </w:r>
    </w:p>
    <w:p>
      <w:pPr>
        <w:pStyle w:val="ListBullet"/>
        <w:spacing w:before="40" w:after="40"/>
      </w:pPr>
      <w:r>
        <w:rPr>
          <w:b/>
          <w:color w:val="0F172A"/>
        </w:rPr>
        <w:t xml:space="preserve">Gestión Integral de Comisiones: </w:t>
      </w:r>
      <w:r>
        <w:rPr>
          <w:color w:val="334155"/>
        </w:rPr>
        <w:t>Captura, cálculo automático, esquema Multipunto (MP), verificación colaborativa, pase a aprobación y marcado de pago.</w:t>
      </w:r>
    </w:p>
    <w:p>
      <w:pPr>
        <w:pStyle w:val="ListBullet"/>
        <w:spacing w:before="40" w:after="40"/>
      </w:pPr>
      <w:r>
        <w:rPr>
          <w:b/>
          <w:color w:val="0F172A"/>
        </w:rPr>
        <w:t xml:space="preserve">Historial Consolidado por Propiedad: </w:t>
      </w:r>
      <w:r>
        <w:rPr>
          <w:color w:val="334155"/>
        </w:rPr>
        <w:t>Trazabilidad por fases de vivienda (Contrato, Escritura y Bono) y registro de escrituración en 1 clic.</w:t>
      </w:r>
    </w:p>
    <w:p>
      <w:pPr>
        <w:pStyle w:val="ListBullet"/>
        <w:spacing w:before="40" w:after="40"/>
      </w:pPr>
      <w:r>
        <w:rPr>
          <w:b/>
          <w:color w:val="0F172A"/>
        </w:rPr>
        <w:t xml:space="preserve">Cartera de Deudores y Wallet: </w:t>
      </w:r>
      <w:r>
        <w:rPr>
          <w:color w:val="334155"/>
        </w:rPr>
        <w:t>Administración independiente de deudas activas (préstamos/penalizaciones) y comisiones/saldos a favor con aplicación de abonos.</w:t>
      </w:r>
    </w:p>
    <w:p>
      <w:pPr>
        <w:pStyle w:val="ListBullet"/>
        <w:spacing w:before="40" w:after="40"/>
      </w:pPr>
      <w:r>
        <w:rPr>
          <w:b/>
          <w:color w:val="0F172A"/>
        </w:rPr>
        <w:t xml:space="preserve">Dashboard Ejecutivo de KPIs: </w:t>
      </w:r>
      <w:r>
        <w:rPr>
          <w:color w:val="334155"/>
        </w:rPr>
        <w:t>Analítica de volumen vendido, comisiones totales, absorción de inventario y rankings comerciales.</w:t>
      </w:r>
    </w:p>
    <w:p>
      <w:pPr>
        <w:pStyle w:val="ListBullet"/>
        <w:spacing w:before="40" w:after="40"/>
      </w:pPr>
      <w:r>
        <w:rPr>
          <w:b/>
          <w:color w:val="0F172A"/>
        </w:rPr>
        <w:t xml:space="preserve">Administración de Usuarios: </w:t>
      </w:r>
      <w:r>
        <w:rPr>
          <w:color w:val="334155"/>
        </w:rPr>
        <w:t>Control de colaboradores, perfiles, asignación de gerentes a asesores y gestión de datos de contacto.</w:t>
      </w:r>
    </w:p>
    <w:p>
      <w:pPr>
        <w:pStyle w:val="Heading2"/>
        <w:keepNext/>
        <w:spacing w:before="200" w:after="80"/>
      </w:pPr>
      <w:r>
        <w:rPr>
          <w:rFonts w:ascii="Arial" w:hAnsi="Arial"/>
          <w:b/>
          <w:color w:val="166534"/>
          <w:sz w:val="26"/>
        </w:rPr>
        <w:t>1.3 Perfiles de Usuario</w:t>
      </w:r>
    </w:p>
    <w:p>
      <w:pPr>
        <w:pStyle w:val="ListBullet"/>
        <w:spacing w:before="40" w:after="40"/>
      </w:pPr>
      <w:r>
        <w:rPr>
          <w:b/>
          <w:color w:val="0F172A"/>
        </w:rPr>
        <w:t xml:space="preserve">Administrador: </w:t>
      </w:r>
      <w:r>
        <w:rPr>
          <w:color w:val="334155"/>
        </w:rPr>
        <w:t>Acceso total al sistema, altas/bajas de usuarios, autorización de pagos finales, sincronización V10, auditoría de cartera y reportes globales.</w:t>
      </w:r>
    </w:p>
    <w:p>
      <w:pPr>
        <w:pStyle w:val="ListBullet"/>
        <w:spacing w:before="40" w:after="40"/>
      </w:pPr>
      <w:r>
        <w:rPr>
          <w:b/>
          <w:color w:val="0F172A"/>
        </w:rPr>
        <w:t xml:space="preserve">Director / Directora: </w:t>
      </w:r>
      <w:r>
        <w:rPr>
          <w:color w:val="334155"/>
        </w:rPr>
        <w:t>Revisión ejecutiva, aprobación y solicitud de correcciones a comisiones verificadas, consulta de KPIs globales, ranking de gerentes y supervisión de cartera.</w:t>
      </w:r>
    </w:p>
    <w:p>
      <w:pPr>
        <w:pStyle w:val="ListBullet"/>
        <w:spacing w:before="40" w:after="40"/>
      </w:pPr>
      <w:r>
        <w:rPr>
          <w:b/>
          <w:color w:val="0F172A"/>
        </w:rPr>
        <w:t xml:space="preserve">Gerente: </w:t>
      </w:r>
      <w:r>
        <w:rPr>
          <w:color w:val="334155"/>
        </w:rPr>
        <w:t>Captura de comisiones, verificación de montos de su equipo comercial, consulta de historial y seguimiento a cartera de deudores.</w:t>
      </w:r>
    </w:p>
    <w:p>
      <w:pPr>
        <w:pStyle w:val="ListBullet"/>
        <w:spacing w:before="40" w:after="40"/>
      </w:pPr>
      <w:r>
        <w:rPr>
          <w:b/>
          <w:color w:val="0F172A"/>
        </w:rPr>
        <w:t xml:space="preserve">Asesor: </w:t>
      </w:r>
      <w:r>
        <w:rPr>
          <w:color w:val="334155"/>
        </w:rPr>
        <w:t>Consulta de comisiones personales asignadas, verificación individual de montos y revisión de su historial y estado de cuenta.</w:t>
      </w:r>
    </w:p>
    <w:p>
      <w:pPr>
        <w:pStyle w:val="Heading2"/>
        <w:keepNext/>
        <w:spacing w:before="200" w:after="80"/>
      </w:pPr>
      <w:r>
        <w:rPr>
          <w:rFonts w:ascii="Arial" w:hAnsi="Arial"/>
          <w:b/>
          <w:color w:val="166534"/>
          <w:sz w:val="26"/>
        </w:rPr>
        <w:t>1.4 Requisitos para Utilizar el Sistema</w:t>
      </w:r>
    </w:p>
    <w:p>
      <w:pPr>
        <w:pStyle w:val="ListBullet"/>
        <w:spacing w:before="40" w:after="40"/>
      </w:pPr>
      <w:r>
        <w:rPr>
          <w:b/>
          <w:color w:val="0F172A"/>
        </w:rPr>
        <w:t xml:space="preserve">Navegador Web: </w:t>
      </w:r>
      <w:r>
        <w:rPr>
          <w:color w:val="334155"/>
        </w:rPr>
        <w:t>Google Chrome, Microsoft Edge, Mozilla Firefox o Safari (versiones modernas actualizadas).</w:t>
      </w:r>
    </w:p>
    <w:p>
      <w:pPr>
        <w:pStyle w:val="ListBullet"/>
        <w:spacing w:before="40" w:after="40"/>
      </w:pPr>
      <w:r>
        <w:rPr>
          <w:b/>
          <w:color w:val="0F172A"/>
        </w:rPr>
        <w:t xml:space="preserve">Conectividad: </w:t>
      </w:r>
      <w:r>
        <w:rPr>
          <w:color w:val="334155"/>
        </w:rPr>
        <w:t>Acceso a la red corporativa para garantizar sincronización directa con los servicios de base de datos V10/Enkontrol.</w:t>
      </w:r>
    </w:p>
    <w:p>
      <w:pPr>
        <w:pStyle w:val="ListBullet"/>
        <w:spacing w:before="40" w:after="40"/>
      </w:pPr>
      <w:r>
        <w:rPr>
          <w:b/>
          <w:color w:val="0F172A"/>
        </w:rPr>
        <w:t xml:space="preserve">Cuenta de Usuario: </w:t>
      </w:r>
      <w:r>
        <w:rPr>
          <w:color w:val="334155"/>
        </w:rPr>
        <w:t>Credenciales individuales asignadas formalmente por el Administrador.</w:t>
      </w:r>
    </w:p>
    <w:p>
      <w:pPr>
        <w:pStyle w:val="Heading1"/>
        <w:keepNext/>
        <w:spacing w:before="280" w:after="80"/>
      </w:pPr>
      <w:r>
        <w:rPr>
          <w:rFonts w:ascii="Arial" w:hAnsi="Arial"/>
          <w:b/>
          <w:color w:val="0F3C3C"/>
          <w:sz w:val="32"/>
        </w:rPr>
        <w:t>2. Acceso al Sistema</w:t>
      </w:r>
    </w:p>
    <w:p>
      <w:r>
        <w:t>Para iniciar sus actividades en la plataforma, acceda a la dirección web oficial del Sistema NOVU. En la pantalla de bienvenida se presentará el formulario de autenticación segura.</w:t>
      </w:r>
    </w:p>
    <w:tbl>
      <w:tblPr>
        <w:tblW w:type="auto" w:w="0"/>
        <w:jc w:val="center"/>
        <w:tblLayout w:type="fixed"/>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single" w:sz="4" w:space="0" w:color="E2E8F0"/>
              <w:bottom w:val="single" w:sz="4" w:space="0" w:color="E2E8F0"/>
              <w:left w:val="single" w:sz="24" w:space="0" w:color="059669"/>
              <w:right w:val="single" w:sz="4" w:space="0" w:color="E2E8F0"/>
            </w:tcBorders>
          </w:tcPr>
          <w:p>
            <w:pPr>
              <w:spacing w:before="0" w:after="40"/>
            </w:pPr>
            <w:r>
              <w:rPr>
                <w:b/>
                <w:color w:val="047857"/>
                <w:sz w:val="20"/>
              </w:rPr>
              <w:t>📌 Captura pendiente de agregar</w:t>
              <w:br/>
            </w:r>
            <w:r>
              <w:rPr>
                <w:color w:val="1E293B"/>
                <w:sz w:val="19"/>
              </w:rPr>
              <w:t>Figura 1. Pantalla de Inicio de Sesión (Login) con visualizador de contraseña interactivo.</w:t>
            </w:r>
          </w:p>
        </w:tc>
      </w:tr>
    </w:tbl>
    <w:p>
      <w:pPr>
        <w:spacing w:before="0" w:after="120"/>
      </w:pPr>
    </w:p>
    <w:p>
      <w:pPr>
        <w:pStyle w:val="Heading2"/>
        <w:keepNext/>
        <w:spacing w:before="200" w:after="80"/>
      </w:pPr>
      <w:r>
        <w:rPr>
          <w:rFonts w:ascii="Arial" w:hAnsi="Arial"/>
          <w:b/>
          <w:color w:val="166534"/>
          <w:sz w:val="26"/>
        </w:rPr>
        <w:t>2.1 Procedimiento de Inicio de Sesión</w:t>
      </w:r>
    </w:p>
    <w:p>
      <w:pPr>
        <w:spacing w:before="60" w:after="60"/>
        <w:ind w:left="360"/>
      </w:pPr>
      <w:r>
        <w:rPr>
          <w:b/>
          <w:color w:val="166534"/>
        </w:rPr>
        <w:t xml:space="preserve">1. </w:t>
      </w:r>
      <w:r>
        <w:rPr>
          <w:b/>
          <w:color w:val="0F172A"/>
        </w:rPr>
        <w:t xml:space="preserve">Nombre de Usuario: </w:t>
      </w:r>
      <w:r>
        <w:rPr>
          <w:color w:val="334155"/>
        </w:rPr>
        <w:t>Capture su nombre de usuario asignado en el primer campo.</w:t>
      </w:r>
    </w:p>
    <w:p>
      <w:pPr>
        <w:spacing w:before="60" w:after="60"/>
        <w:ind w:left="360"/>
      </w:pPr>
      <w:r>
        <w:rPr>
          <w:b/>
          <w:color w:val="166534"/>
        </w:rPr>
        <w:t xml:space="preserve">2. </w:t>
      </w:r>
      <w:r>
        <w:rPr>
          <w:b/>
          <w:color w:val="0F172A"/>
        </w:rPr>
        <w:t xml:space="preserve">Contraseña: </w:t>
      </w:r>
      <w:r>
        <w:rPr>
          <w:color w:val="334155"/>
        </w:rPr>
        <w:t>Ingrese su contraseña de acceso.</w:t>
      </w:r>
    </w:p>
    <w:p>
      <w:pPr>
        <w:spacing w:before="60" w:after="60"/>
        <w:ind w:left="360"/>
      </w:pPr>
      <w:r>
        <w:rPr>
          <w:b/>
          <w:color w:val="166534"/>
        </w:rPr>
        <w:t xml:space="preserve">3. </w:t>
      </w:r>
      <w:r>
        <w:rPr>
          <w:b/>
          <w:color w:val="0F172A"/>
        </w:rPr>
        <w:t xml:space="preserve">Verificar Clave: </w:t>
      </w:r>
      <w:r>
        <w:rPr>
          <w:color w:val="334155"/>
        </w:rPr>
        <w:t>(Opcional) Haga clic sobre el icono del ojo para visualizar temporalmente los caracteres y confirmar su correcta escritura.</w:t>
      </w:r>
    </w:p>
    <w:p>
      <w:pPr>
        <w:spacing w:before="60" w:after="60"/>
        <w:ind w:left="360"/>
      </w:pPr>
      <w:r>
        <w:rPr>
          <w:b/>
          <w:color w:val="166534"/>
        </w:rPr>
        <w:t xml:space="preserve">4. </w:t>
      </w:r>
      <w:r>
        <w:rPr>
          <w:b/>
          <w:color w:val="0F172A"/>
        </w:rPr>
        <w:t xml:space="preserve">Iniciar Sesión: </w:t>
      </w:r>
      <w:r>
        <w:rPr>
          <w:color w:val="334155"/>
        </w:rPr>
        <w:t>Haga clic en el botón 'Iniciar Sesión'. El sistema validará sus credenciales y lo redirigirá al panel principal.</w:t>
      </w:r>
    </w:p>
    <w:p>
      <w:pPr>
        <w:pStyle w:val="Heading2"/>
        <w:keepNext/>
        <w:spacing w:before="200" w:after="80"/>
      </w:pPr>
      <w:r>
        <w:rPr>
          <w:rFonts w:ascii="Arial" w:hAnsi="Arial"/>
          <w:b/>
          <w:color w:val="166534"/>
          <w:sz w:val="26"/>
        </w:rPr>
        <w:t>2.2 Mensajes y Validaciones de Acceso</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3A"/>
            <w:tcMar>
              <w:top w:w="120" w:type="dxa"/>
              <w:bottom w:w="120" w:type="dxa"/>
              <w:left w:w="140" w:type="dxa"/>
              <w:right w:w="140" w:type="dxa"/>
            </w:tcMar>
            <w:tcBorders>
              <w:top w:val="single" w:sz="6" w:space="0" w:color="0F2828"/>
              <w:bottom w:val="single" w:sz="12" w:space="0" w:color="166534"/>
              <w:left w:val="single" w:sz="4" w:space="0" w:color="2E5A5A"/>
              <w:right w:val="single" w:sz="4" w:space="0" w:color="2E5A5A"/>
            </w:tcBorders>
          </w:tcPr>
          <w:p>
            <w:pPr>
              <w:jc w:val="left"/>
            </w:pPr>
            <w:r>
              <w:rPr>
                <w:rFonts w:ascii="Arial" w:hAnsi="Arial"/>
                <w:b/>
                <w:color w:val="FFFFFF"/>
                <w:sz w:val="19"/>
              </w:rPr>
              <w:t>Situación / Error</w:t>
            </w:r>
          </w:p>
        </w:tc>
        <w:tc>
          <w:tcPr>
            <w:tcW w:type="dxa" w:w="3312"/>
            <w:shd w:fill="1E3A3A"/>
            <w:tcMar>
              <w:top w:w="120" w:type="dxa"/>
              <w:bottom w:w="120" w:type="dxa"/>
              <w:left w:w="140" w:type="dxa"/>
              <w:right w:w="140" w:type="dxa"/>
            </w:tcMar>
            <w:tcBorders>
              <w:top w:val="single" w:sz="6" w:space="0" w:color="0F2828"/>
              <w:bottom w:val="single" w:sz="12" w:space="0" w:color="166534"/>
              <w:left w:val="single" w:sz="4" w:space="0" w:color="2E5A5A"/>
              <w:right w:val="single" w:sz="4" w:space="0" w:color="2E5A5A"/>
            </w:tcBorders>
          </w:tcPr>
          <w:p>
            <w:pPr>
              <w:jc w:val="left"/>
            </w:pPr>
            <w:r>
              <w:rPr>
                <w:rFonts w:ascii="Arial" w:hAnsi="Arial"/>
                <w:b/>
                <w:color w:val="FFFFFF"/>
                <w:sz w:val="19"/>
              </w:rPr>
              <w:t>Mensaje del Sistema</w:t>
            </w:r>
          </w:p>
        </w:tc>
        <w:tc>
          <w:tcPr>
            <w:tcW w:type="dxa" w:w="3456"/>
            <w:shd w:fill="1E3A3A"/>
            <w:tcMar>
              <w:top w:w="120" w:type="dxa"/>
              <w:bottom w:w="120" w:type="dxa"/>
              <w:left w:w="140" w:type="dxa"/>
              <w:right w:w="140" w:type="dxa"/>
            </w:tcMar>
            <w:tcBorders>
              <w:top w:val="single" w:sz="6" w:space="0" w:color="0F2828"/>
              <w:bottom w:val="single" w:sz="12" w:space="0" w:color="166534"/>
              <w:left w:val="single" w:sz="4" w:space="0" w:color="2E5A5A"/>
              <w:right w:val="single" w:sz="4" w:space="0" w:color="2E5A5A"/>
            </w:tcBorders>
          </w:tcPr>
          <w:p>
            <w:pPr>
              <w:jc w:val="left"/>
            </w:pPr>
            <w:r>
              <w:rPr>
                <w:rFonts w:ascii="Arial" w:hAnsi="Arial"/>
                <w:b/>
                <w:color w:val="FFFFFF"/>
                <w:sz w:val="19"/>
              </w:rPr>
              <w:t>Causa y Solución</w:t>
            </w:r>
          </w:p>
        </w:tc>
      </w:tr>
      <w:tr>
        <w:tc>
          <w:tcPr>
            <w:tcW w:type="dxa" w:w="259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Campos Vacíos</w:t>
            </w:r>
          </w:p>
        </w:tc>
        <w:tc>
          <w:tcPr>
            <w:tcW w:type="dxa" w:w="331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Usuario y contraseña son requeridos</w:t>
            </w:r>
          </w:p>
        </w:tc>
        <w:tc>
          <w:tcPr>
            <w:tcW w:type="dxa" w:w="3456"/>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Debe capturar ambos campos obligatorios.</w:t>
            </w:r>
          </w:p>
        </w:tc>
      </w:tr>
      <w:tr>
        <w:tc>
          <w:tcPr>
            <w:tcW w:type="dxa" w:w="259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Datos Incorrectos</w:t>
            </w:r>
          </w:p>
        </w:tc>
        <w:tc>
          <w:tcPr>
            <w:tcW w:type="dxa" w:w="331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Usuario o contraseña incorrectos</w:t>
            </w:r>
          </w:p>
        </w:tc>
        <w:tc>
          <w:tcPr>
            <w:tcW w:type="dxa" w:w="3456"/>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Verifique que no existan errores tipográficos o mayúsculas activadas.</w:t>
            </w:r>
          </w:p>
        </w:tc>
      </w:tr>
      <w:tr>
        <w:tc>
          <w:tcPr>
            <w:tcW w:type="dxa" w:w="2592"/>
            <w:shd w:fill="FFFFFF"/>
            <w:tcMar>
              <w:top w:w="90" w:type="dxa"/>
              <w:bottom w:w="90" w:type="dxa"/>
              <w:left w:w="140" w:type="dxa"/>
              <w:right w:w="140" w:type="dxa"/>
            </w:tcMar>
            <w:tcBorders>
              <w:top w:val="single" w:sz="4" w:space="0" w:color="E2E8F0"/>
              <w:bottom w:val="single" w:sz="4" w:space="0" w:color="CBD5E1"/>
              <w:left w:val="single" w:sz="4" w:space="0" w:color="E2E8F0"/>
              <w:right w:val="single" w:sz="4" w:space="0" w:color="E2E8F0"/>
            </w:tcBorders>
          </w:tcPr>
          <w:p>
            <w:pPr>
              <w:spacing w:before="0" w:after="0"/>
            </w:pPr>
            <w:r>
              <w:rPr>
                <w:rFonts w:ascii="Arial" w:hAnsi="Arial"/>
                <w:color w:val="334155"/>
                <w:sz w:val="18"/>
              </w:rPr>
              <w:t>Cuenta Inactiva</w:t>
            </w:r>
          </w:p>
        </w:tc>
        <w:tc>
          <w:tcPr>
            <w:tcW w:type="dxa" w:w="3312"/>
            <w:shd w:fill="FFFFFF"/>
            <w:tcMar>
              <w:top w:w="90" w:type="dxa"/>
              <w:bottom w:w="90" w:type="dxa"/>
              <w:left w:w="140" w:type="dxa"/>
              <w:right w:w="140" w:type="dxa"/>
            </w:tcMar>
            <w:tcBorders>
              <w:top w:val="single" w:sz="4" w:space="0" w:color="E2E8F0"/>
              <w:bottom w:val="single" w:sz="4" w:space="0" w:color="CBD5E1"/>
              <w:left w:val="single" w:sz="4" w:space="0" w:color="E2E8F0"/>
              <w:right w:val="single" w:sz="4" w:space="0" w:color="E2E8F0"/>
            </w:tcBorders>
          </w:tcPr>
          <w:p>
            <w:pPr>
              <w:spacing w:before="0" w:after="0"/>
            </w:pPr>
            <w:r>
              <w:rPr>
                <w:rFonts w:ascii="Arial" w:hAnsi="Arial"/>
                <w:color w:val="334155"/>
                <w:sz w:val="18"/>
              </w:rPr>
              <w:t>Usuario o contraseña incorrectos</w:t>
            </w:r>
          </w:p>
        </w:tc>
        <w:tc>
          <w:tcPr>
            <w:tcW w:type="dxa" w:w="3456"/>
            <w:shd w:fill="FFFFFF"/>
            <w:tcMar>
              <w:top w:w="90" w:type="dxa"/>
              <w:bottom w:w="90" w:type="dxa"/>
              <w:left w:w="140" w:type="dxa"/>
              <w:right w:w="140" w:type="dxa"/>
            </w:tcMar>
            <w:tcBorders>
              <w:top w:val="single" w:sz="4" w:space="0" w:color="E2E8F0"/>
              <w:bottom w:val="single" w:sz="4" w:space="0" w:color="CBD5E1"/>
              <w:left w:val="single" w:sz="4" w:space="0" w:color="E2E8F0"/>
              <w:right w:val="single" w:sz="4" w:space="0" w:color="E2E8F0"/>
            </w:tcBorders>
          </w:tcPr>
          <w:p>
            <w:pPr>
              <w:spacing w:before="0" w:after="0"/>
            </w:pPr>
            <w:r>
              <w:rPr>
                <w:rFonts w:ascii="Arial" w:hAnsi="Arial"/>
                <w:color w:val="334155"/>
                <w:sz w:val="18"/>
              </w:rPr>
              <w:t>Si su cuenta fue dada de baja administrativamente, contacte al Administrador.</w:t>
            </w:r>
          </w:p>
        </w:tc>
      </w:tr>
    </w:tbl>
    <w:p>
      <w:pPr>
        <w:spacing w:before="0" w:after="120"/>
      </w:pPr>
    </w:p>
    <w:p>
      <w:pPr>
        <w:pStyle w:val="Heading2"/>
        <w:keepNext/>
        <w:spacing w:before="200" w:after="80"/>
      </w:pPr>
      <w:r>
        <w:rPr>
          <w:rFonts w:ascii="Arial" w:hAnsi="Arial"/>
          <w:b/>
          <w:color w:val="166534"/>
          <w:sz w:val="26"/>
        </w:rPr>
        <w:t>2.3 Cierre de Sesión Seguro</w:t>
      </w:r>
    </w:p>
    <w:p>
      <w:r>
        <w:t>Para proteger la confidencialidad de los datos, al concluir su jornada laboral haga clic en el botón 'Salir' ubicado en la esquina superior derecha del encabezado. Se cerrará la sesión de forma segura y se destruirá la cookie de autenticación.</w:t>
      </w:r>
    </w:p>
    <w:p>
      <w:pPr>
        <w:pStyle w:val="Heading1"/>
        <w:keepNext/>
        <w:spacing w:before="280" w:after="80"/>
      </w:pPr>
      <w:r>
        <w:rPr>
          <w:rFonts w:ascii="Arial" w:hAnsi="Arial"/>
          <w:b/>
          <w:color w:val="0F3C3C"/>
          <w:sz w:val="32"/>
        </w:rPr>
        <w:t>3. Interfaz Principal y Navegación</w:t>
      </w:r>
    </w:p>
    <w:p>
      <w:r>
        <w:t>La interfaz del sistema está estructurada en un entorno ergonómico de alta productividad con dos áreas clave:</w:t>
      </w:r>
    </w:p>
    <w:p>
      <w:pPr>
        <w:pStyle w:val="ListBullet"/>
        <w:spacing w:before="40" w:after="40"/>
      </w:pPr>
      <w:r>
        <w:rPr>
          <w:b/>
          <w:color w:val="0F172A"/>
        </w:rPr>
        <w:t xml:space="preserve">Menú Lateral (Sidebar): </w:t>
      </w:r>
      <w:r>
        <w:rPr>
          <w:color w:val="334155"/>
        </w:rPr>
        <w:t>Permite saltar entre los módulos autorizados: Comisiones, Nueva Comisión, Historial, KPIs, Cartera de Deudores, Gestión de Usuarios y Registrar Usuario.</w:t>
      </w:r>
    </w:p>
    <w:p>
      <w:pPr>
        <w:pStyle w:val="ListBullet"/>
        <w:spacing w:before="40" w:after="40"/>
      </w:pPr>
      <w:r>
        <w:rPr>
          <w:b/>
          <w:color w:val="0F172A"/>
        </w:rPr>
        <w:t xml:space="preserve">Barra Superior (Header): </w:t>
      </w:r>
      <w:r>
        <w:rPr>
          <w:color w:val="334155"/>
        </w:rPr>
        <w:t>Contiene el título de la pantalla activa, el botón de Sincronización Manual V10 (Admin), la campana de Notificaciones con badge dinámico, la tarjeta de perfil y el botón de salida.</w:t>
      </w:r>
    </w:p>
    <w:p>
      <w:pPr>
        <w:pStyle w:val="ListBullet"/>
        <w:spacing w:before="40" w:after="40"/>
      </w:pPr>
      <w:r>
        <w:rPr>
          <w:b/>
          <w:color w:val="0F172A"/>
        </w:rPr>
        <w:t xml:space="preserve">Buzón de Notificaciones: </w:t>
      </w:r>
      <w:r>
        <w:rPr>
          <w:color w:val="334155"/>
        </w:rPr>
        <w:t>Alerta sobre comisiones que requieren su verificación, aprobaciones emitidas o comisiones enviadas a corrección. Al hacer clic sobre cualquier notificación se redirige de forma automática a la comisión respectiva.</w:t>
      </w:r>
    </w:p>
    <w:p>
      <w:pPr>
        <w:pStyle w:val="Heading1"/>
        <w:keepNext/>
        <w:spacing w:before="280" w:after="80"/>
      </w:pPr>
      <w:r>
        <w:rPr>
          <w:rFonts w:ascii="Arial" w:hAnsi="Arial"/>
          <w:b/>
          <w:color w:val="0F3C3C"/>
          <w:sz w:val="32"/>
        </w:rPr>
        <w:t>4. Módulo de Comisiones (Bandeja Operativa)</w:t>
      </w:r>
    </w:p>
    <w:p>
      <w:r>
        <w:t>Es el núcleo operativo donde se monitorean todas las comisiones en curso. Dependiendo de su perfil, el título se adaptará a 'Mis comisiones' (Asesores/Gerentes) o 'Todas las comisiones' (Dirección/Administración).</w:t>
      </w:r>
    </w:p>
    <w:tbl>
      <w:tblPr>
        <w:tblW w:type="auto" w:w="0"/>
        <w:jc w:val="center"/>
        <w:tblLayout w:type="fixed"/>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single" w:sz="4" w:space="0" w:color="E2E8F0"/>
              <w:bottom w:val="single" w:sz="4" w:space="0" w:color="E2E8F0"/>
              <w:left w:val="single" w:sz="24" w:space="0" w:color="059669"/>
              <w:right w:val="single" w:sz="4" w:space="0" w:color="E2E8F0"/>
            </w:tcBorders>
          </w:tcPr>
          <w:p>
            <w:pPr>
              <w:spacing w:before="0" w:after="40"/>
            </w:pPr>
            <w:r>
              <w:rPr>
                <w:b/>
                <w:color w:val="047857"/>
                <w:sz w:val="20"/>
              </w:rPr>
              <w:t>📌 Captura pendiente de agregar</w:t>
              <w:br/>
            </w:r>
            <w:r>
              <w:rPr>
                <w:color w:val="1E293B"/>
                <w:sz w:val="19"/>
              </w:rPr>
              <w:t>Figura 2. Bandeja de Comisiones con filtros avanzados, etiquetas de estado y tarjetas de participantes.</w:t>
            </w:r>
          </w:p>
        </w:tc>
      </w:tr>
    </w:tbl>
    <w:p>
      <w:pPr>
        <w:spacing w:before="0" w:after="120"/>
      </w:pPr>
    </w:p>
    <w:p>
      <w:pPr>
        <w:pStyle w:val="Heading2"/>
        <w:keepNext/>
        <w:spacing w:before="200" w:after="80"/>
      </w:pPr>
      <w:r>
        <w:rPr>
          <w:rFonts w:ascii="Arial" w:hAnsi="Arial"/>
          <w:b/>
          <w:color w:val="166534"/>
          <w:sz w:val="26"/>
        </w:rPr>
        <w:t>4.1 Filtros y Herramientas de Auditoría</w:t>
      </w:r>
    </w:p>
    <w:p>
      <w:pPr>
        <w:pStyle w:val="ListBullet"/>
        <w:spacing w:before="40" w:after="40"/>
      </w:pPr>
      <w:r>
        <w:rPr>
          <w:b/>
          <w:color w:val="0F172A"/>
        </w:rPr>
        <w:t xml:space="preserve">Buscador Textual: </w:t>
      </w:r>
      <w:r>
        <w:rPr>
          <w:color w:val="334155"/>
        </w:rPr>
        <w:t>Busca coincidencias inmediatas por nombre de cliente, lote/ubicación, desarrollo, empresa o colaborador participante.</w:t>
      </w:r>
    </w:p>
    <w:p>
      <w:pPr>
        <w:pStyle w:val="ListBullet"/>
        <w:spacing w:before="40" w:after="40"/>
      </w:pPr>
      <w:r>
        <w:rPr>
          <w:b/>
          <w:color w:val="0F172A"/>
        </w:rPr>
        <w:t xml:space="preserve">Filtro por Estado: </w:t>
      </w:r>
      <w:r>
        <w:rPr>
          <w:color w:val="334155"/>
        </w:rPr>
        <w:t>Permite aislar comisiones en: Pendiente Verificación, Verificada, Pendiente Aprobación, Aprobada, Pendiente Pago, Pagada, Corrección y Cancelada.</w:t>
      </w:r>
    </w:p>
    <w:p>
      <w:pPr>
        <w:pStyle w:val="ListBullet"/>
        <w:spacing w:before="40" w:after="40"/>
      </w:pPr>
      <w:r>
        <w:rPr>
          <w:b/>
          <w:color w:val="0F172A"/>
        </w:rPr>
        <w:t xml:space="preserve">Selectores de Empresa, Desarrollo y Concepto: </w:t>
      </w:r>
      <w:r>
        <w:rPr>
          <w:color w:val="334155"/>
        </w:rPr>
        <w:t>Menús desplegables generados dinámicamente según los registros existentes.</w:t>
      </w:r>
    </w:p>
    <w:p>
      <w:pPr>
        <w:pStyle w:val="ListBullet"/>
        <w:spacing w:before="40" w:after="40"/>
      </w:pPr>
      <w:r>
        <w:rPr>
          <w:b/>
          <w:color w:val="0F172A"/>
        </w:rPr>
        <w:t xml:space="preserve">Rango de Fechas (Desde / Hasta): </w:t>
      </w:r>
      <w:r>
        <w:rPr>
          <w:color w:val="334155"/>
        </w:rPr>
        <w:t>Permite acotar el listado a un periodo de fechas de registro específico.</w:t>
      </w:r>
    </w:p>
    <w:p>
      <w:pPr>
        <w:pStyle w:val="ListBullet"/>
        <w:spacing w:before="40" w:after="40"/>
      </w:pPr>
      <w:r>
        <w:rPr>
          <w:b/>
          <w:color w:val="0F172A"/>
        </w:rPr>
        <w:t xml:space="preserve">Exportación a CSV: </w:t>
      </w:r>
      <w:r>
        <w:rPr>
          <w:color w:val="334155"/>
        </w:rPr>
        <w:t>(Visible para Director y Administrador) Descarga el reporte auditado con 12 columnas incluyendo desarrollo, cliente, vendedor, precio, comisiones desglosadas y tipo de penalización.</w:t>
      </w:r>
    </w:p>
    <w:p>
      <w:pPr>
        <w:pStyle w:val="Heading2"/>
        <w:keepNext/>
        <w:spacing w:before="200" w:after="80"/>
      </w:pPr>
      <w:r>
        <w:rPr>
          <w:rFonts w:ascii="Arial" w:hAnsi="Arial"/>
          <w:b/>
          <w:color w:val="166534"/>
          <w:sz w:val="26"/>
        </w:rPr>
        <w:t>4.2 Ciclo de Vida y Estados de una Comisión</w:t>
      </w:r>
    </w:p>
    <w:p>
      <w:r>
        <w:t>1. Pendiente Verificación (Amarillo): La comisión recién creada espera que asesor y gerente confirmen sus montos.</w:t>
        <w:br/>
        <w:t>2. Pendiente Aprobación (Azul / Amarillo): Todos los participantes han verificado; la comisión está lista para revisión de Dirección.</w:t>
        <w:br/>
        <w:t>3. Corrección (Rojo): La Dirección o Administración devolvió la comisión indicando inconsistencias para su ajuste.</w:t>
        <w:br/>
        <w:t>4. Pendiente Pago (Azul): Aprobada por Dirección; en espera de dispersión por Administración.</w:t>
        <w:br/>
        <w:t>5. Pagada (Verde): Liquidada formalmente en su totalidad.</w:t>
        <w:br/>
        <w:t>6. Cancelada (Gris): Operación rescidida con desglose de penalización.</w:t>
      </w:r>
    </w:p>
    <w:p>
      <w:pPr>
        <w:pStyle w:val="Heading2"/>
        <w:keepNext/>
        <w:spacing w:before="200" w:after="80"/>
      </w:pPr>
      <w:r>
        <w:rPr>
          <w:rFonts w:ascii="Arial" w:hAnsi="Arial"/>
          <w:b/>
          <w:color w:val="166534"/>
          <w:sz w:val="26"/>
        </w:rPr>
        <w:t>4.3 Procedimientos Clave en la Bandeja</w:t>
      </w:r>
    </w:p>
    <w:p>
      <w:pPr>
        <w:spacing w:before="60" w:after="60"/>
        <w:ind w:left="360"/>
      </w:pPr>
      <w:r>
        <w:rPr>
          <w:b/>
          <w:color w:val="166534"/>
        </w:rPr>
        <w:t xml:space="preserve">A. </w:t>
      </w:r>
      <w:r>
        <w:rPr>
          <w:b/>
          <w:color w:val="0F172A"/>
        </w:rPr>
        <w:t xml:space="preserve">Verificación Individual de Participantes: </w:t>
      </w:r>
      <w:r>
        <w:rPr>
          <w:color w:val="334155"/>
        </w:rPr>
        <w:t>El asesor o gerente localiza su tarjeta, identifica su nombre con la etiqueta '(tú)' y hace clic en 'Verificar'. El botón cambiará a 'Verificado'. Al completar todas las firmas de la tarjeta, el sistema notifica a Dirección.</w:t>
      </w:r>
    </w:p>
    <w:p>
      <w:pPr>
        <w:spacing w:before="60" w:after="60"/>
        <w:ind w:left="360"/>
      </w:pPr>
      <w:r>
        <w:rPr>
          <w:b/>
          <w:color w:val="166534"/>
        </w:rPr>
        <w:t xml:space="preserve">B. </w:t>
      </w:r>
      <w:r>
        <w:rPr>
          <w:b/>
          <w:color w:val="0F172A"/>
        </w:rPr>
        <w:t xml:space="preserve">Aprobación por Dirección: </w:t>
      </w:r>
      <w:r>
        <w:rPr>
          <w:color w:val="334155"/>
        </w:rPr>
        <w:t>El Director revisa la tarjeta en estado 'Pendiente Aprobación' y hace clic en 'Aprobar'. La comisión pasa a 'Pendiente Pago' y se notifica al Administrador.</w:t>
      </w:r>
    </w:p>
    <w:p>
      <w:pPr>
        <w:spacing w:before="60" w:after="60"/>
        <w:ind w:left="360"/>
      </w:pPr>
      <w:r>
        <w:rPr>
          <w:b/>
          <w:color w:val="166534"/>
        </w:rPr>
        <w:t xml:space="preserve">C. </w:t>
      </w:r>
      <w:r>
        <w:rPr>
          <w:b/>
          <w:color w:val="0F172A"/>
        </w:rPr>
        <w:t xml:space="preserve">Solicitud de Corrección: </w:t>
      </w:r>
      <w:r>
        <w:rPr>
          <w:color w:val="334155"/>
        </w:rPr>
        <w:t>Si la Dirección o Administración detecta un error, pulsa 'Corregir', escribe los motivos en el modal emergente y confirma. La comisión pasa a estado 'Corrección' con un banner explicativo.</w:t>
      </w:r>
    </w:p>
    <w:p>
      <w:pPr>
        <w:spacing w:before="60" w:after="60"/>
        <w:ind w:left="360"/>
      </w:pPr>
      <w:r>
        <w:rPr>
          <w:b/>
          <w:color w:val="166534"/>
        </w:rPr>
        <w:t xml:space="preserve">D. </w:t>
      </w:r>
      <w:r>
        <w:rPr>
          <w:b/>
          <w:color w:val="0F172A"/>
        </w:rPr>
        <w:t xml:space="preserve">Marcado de Pago: </w:t>
      </w:r>
      <w:r>
        <w:rPr>
          <w:color w:val="334155"/>
        </w:rPr>
        <w:t>El Administrador presiona 'Marcar como pagada' tras realizar la transferencia bancaria o aplicación correspondiente.</w:t>
      </w:r>
    </w:p>
    <w:p>
      <w:pPr>
        <w:pStyle w:val="Heading1"/>
        <w:keepNext/>
        <w:spacing w:before="280" w:after="80"/>
      </w:pPr>
      <w:r>
        <w:rPr>
          <w:rFonts w:ascii="Arial" w:hAnsi="Arial"/>
          <w:b/>
          <w:color w:val="0F3C3C"/>
          <w:sz w:val="32"/>
        </w:rPr>
        <w:t>5. Registro y Edición de Comisiones</w:t>
      </w:r>
    </w:p>
    <w:p>
      <w:r>
        <w:t>Formulario estructurado para la creación y modificación de comisiones comerciales con integración en tiempo real a los catálogos maestros de Enkontrol/V10.</w:t>
      </w:r>
    </w:p>
    <w:tbl>
      <w:tblPr>
        <w:tblW w:type="auto" w:w="0"/>
        <w:jc w:val="center"/>
        <w:tblLayout w:type="fixed"/>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single" w:sz="4" w:space="0" w:color="E2E8F0"/>
              <w:bottom w:val="single" w:sz="4" w:space="0" w:color="E2E8F0"/>
              <w:left w:val="single" w:sz="24" w:space="0" w:color="059669"/>
              <w:right w:val="single" w:sz="4" w:space="0" w:color="E2E8F0"/>
            </w:tcBorders>
          </w:tcPr>
          <w:p>
            <w:pPr>
              <w:spacing w:before="0" w:after="40"/>
            </w:pPr>
            <w:r>
              <w:rPr>
                <w:b/>
                <w:color w:val="047857"/>
                <w:sz w:val="20"/>
              </w:rPr>
              <w:t>📌 Captura pendiente de agregar</w:t>
              <w:br/>
            </w:r>
            <w:r>
              <w:rPr>
                <w:color w:val="1E293B"/>
                <w:sz w:val="19"/>
              </w:rPr>
              <w:t>Figura 3. Formulario de Captura de Comisión y Modal de Confirmación Previa al Guardado.</w:t>
            </w:r>
          </w:p>
        </w:tc>
      </w:tr>
    </w:tbl>
    <w:p>
      <w:pPr>
        <w:spacing w:before="0" w:after="120"/>
      </w:pPr>
    </w:p>
    <w:p>
      <w:pPr>
        <w:pStyle w:val="Heading2"/>
        <w:keepNext/>
        <w:spacing w:before="200" w:after="80"/>
      </w:pPr>
      <w:r>
        <w:rPr>
          <w:rFonts w:ascii="Arial" w:hAnsi="Arial"/>
          <w:b/>
          <w:color w:val="166534"/>
          <w:sz w:val="26"/>
        </w:rPr>
        <w:t>5.1 Estructura de Campos del Formulario</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3A"/>
            <w:tcMar>
              <w:top w:w="120" w:type="dxa"/>
              <w:bottom w:w="120" w:type="dxa"/>
              <w:left w:w="140" w:type="dxa"/>
              <w:right w:w="140" w:type="dxa"/>
            </w:tcMar>
            <w:tcBorders>
              <w:top w:val="single" w:sz="6" w:space="0" w:color="0F2828"/>
              <w:bottom w:val="single" w:sz="12" w:space="0" w:color="166534"/>
              <w:left w:val="single" w:sz="4" w:space="0" w:color="2E5A5A"/>
              <w:right w:val="single" w:sz="4" w:space="0" w:color="2E5A5A"/>
            </w:tcBorders>
          </w:tcPr>
          <w:p>
            <w:pPr>
              <w:jc w:val="left"/>
            </w:pPr>
            <w:r>
              <w:rPr>
                <w:rFonts w:ascii="Arial" w:hAnsi="Arial"/>
                <w:b/>
                <w:color w:val="FFFFFF"/>
                <w:sz w:val="19"/>
              </w:rPr>
              <w:t>Campo</w:t>
            </w:r>
          </w:p>
        </w:tc>
        <w:tc>
          <w:tcPr>
            <w:tcW w:type="dxa" w:w="3456"/>
            <w:shd w:fill="1E3A3A"/>
            <w:tcMar>
              <w:top w:w="120" w:type="dxa"/>
              <w:bottom w:w="120" w:type="dxa"/>
              <w:left w:w="140" w:type="dxa"/>
              <w:right w:w="140" w:type="dxa"/>
            </w:tcMar>
            <w:tcBorders>
              <w:top w:val="single" w:sz="6" w:space="0" w:color="0F2828"/>
              <w:bottom w:val="single" w:sz="12" w:space="0" w:color="166534"/>
              <w:left w:val="single" w:sz="4" w:space="0" w:color="2E5A5A"/>
              <w:right w:val="single" w:sz="4" w:space="0" w:color="2E5A5A"/>
            </w:tcBorders>
          </w:tcPr>
          <w:p>
            <w:pPr>
              <w:jc w:val="left"/>
            </w:pPr>
            <w:r>
              <w:rPr>
                <w:rFonts w:ascii="Arial" w:hAnsi="Arial"/>
                <w:b/>
                <w:color w:val="FFFFFF"/>
                <w:sz w:val="19"/>
              </w:rPr>
              <w:t>Descripción Funcional</w:t>
            </w:r>
          </w:p>
        </w:tc>
        <w:tc>
          <w:tcPr>
            <w:tcW w:type="dxa" w:w="1296"/>
            <w:shd w:fill="1E3A3A"/>
            <w:tcMar>
              <w:top w:w="120" w:type="dxa"/>
              <w:bottom w:w="120" w:type="dxa"/>
              <w:left w:w="140" w:type="dxa"/>
              <w:right w:w="140" w:type="dxa"/>
            </w:tcMar>
            <w:tcBorders>
              <w:top w:val="single" w:sz="6" w:space="0" w:color="0F2828"/>
              <w:bottom w:val="single" w:sz="12" w:space="0" w:color="166534"/>
              <w:left w:val="single" w:sz="4" w:space="0" w:color="2E5A5A"/>
              <w:right w:val="single" w:sz="4" w:space="0" w:color="2E5A5A"/>
            </w:tcBorders>
          </w:tcPr>
          <w:p>
            <w:pPr>
              <w:jc w:val="center"/>
            </w:pPr>
            <w:r>
              <w:rPr>
                <w:rFonts w:ascii="Arial" w:hAnsi="Arial"/>
                <w:b/>
                <w:color w:val="FFFFFF"/>
                <w:sz w:val="19"/>
              </w:rPr>
              <w:t>Obligatorio</w:t>
            </w:r>
          </w:p>
        </w:tc>
        <w:tc>
          <w:tcPr>
            <w:tcW w:type="dxa" w:w="2448"/>
            <w:shd w:fill="1E3A3A"/>
            <w:tcMar>
              <w:top w:w="120" w:type="dxa"/>
              <w:bottom w:w="120" w:type="dxa"/>
              <w:left w:w="140" w:type="dxa"/>
              <w:right w:w="140" w:type="dxa"/>
            </w:tcMar>
            <w:tcBorders>
              <w:top w:val="single" w:sz="6" w:space="0" w:color="0F2828"/>
              <w:bottom w:val="single" w:sz="12" w:space="0" w:color="166534"/>
              <w:left w:val="single" w:sz="4" w:space="0" w:color="2E5A5A"/>
              <w:right w:val="single" w:sz="4" w:space="0" w:color="2E5A5A"/>
            </w:tcBorders>
          </w:tcPr>
          <w:p>
            <w:pPr>
              <w:jc w:val="left"/>
            </w:pPr>
            <w:r>
              <w:rPr>
                <w:rFonts w:ascii="Arial" w:hAnsi="Arial"/>
                <w:b/>
                <w:color w:val="FFFFFF"/>
                <w:sz w:val="19"/>
              </w:rPr>
              <w:t>Regla de Negocio</w:t>
            </w:r>
          </w:p>
        </w:tc>
      </w:tr>
      <w:tr>
        <w:tc>
          <w:tcPr>
            <w:tcW w:type="dxa" w:w="2160"/>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Compañía</w:t>
            </w:r>
          </w:p>
        </w:tc>
        <w:tc>
          <w:tcPr>
            <w:tcW w:type="dxa" w:w="3456"/>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Razón social del desarrollo inmobiliario</w:t>
            </w:r>
          </w:p>
        </w:tc>
        <w:tc>
          <w:tcPr>
            <w:tcW w:type="dxa" w:w="1296"/>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334155"/>
                <w:sz w:val="18"/>
              </w:rPr>
              <w:t>Sí</w:t>
            </w:r>
          </w:p>
        </w:tc>
        <w:tc>
          <w:tcPr>
            <w:tcW w:type="dxa" w:w="2448"/>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Selector con búsqueda.</w:t>
            </w:r>
          </w:p>
        </w:tc>
      </w:tr>
      <w:tr>
        <w:tc>
          <w:tcPr>
            <w:tcW w:type="dxa" w:w="2160"/>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Desarrollo</w:t>
            </w:r>
          </w:p>
        </w:tc>
        <w:tc>
          <w:tcPr>
            <w:tcW w:type="dxa" w:w="3456"/>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Proyecto o condominio habitacional</w:t>
            </w:r>
          </w:p>
        </w:tc>
        <w:tc>
          <w:tcPr>
            <w:tcW w:type="dxa" w:w="1296"/>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334155"/>
                <w:sz w:val="18"/>
              </w:rPr>
              <w:t>Sí</w:t>
            </w:r>
          </w:p>
        </w:tc>
        <w:tc>
          <w:tcPr>
            <w:tcW w:type="dxa" w:w="2448"/>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Filtrado por la compañía.</w:t>
            </w:r>
          </w:p>
        </w:tc>
      </w:tr>
      <w:tr>
        <w:tc>
          <w:tcPr>
            <w:tcW w:type="dxa" w:w="2160"/>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Ubicación</w:t>
            </w:r>
          </w:p>
        </w:tc>
        <w:tc>
          <w:tcPr>
            <w:tcW w:type="dxa" w:w="3456"/>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Unidad / Vivienda / Extra (Bodega)</w:t>
            </w:r>
          </w:p>
        </w:tc>
        <w:tc>
          <w:tcPr>
            <w:tcW w:type="dxa" w:w="1296"/>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334155"/>
                <w:sz w:val="18"/>
              </w:rPr>
              <w:t>Sí</w:t>
            </w:r>
          </w:p>
        </w:tc>
        <w:tc>
          <w:tcPr>
            <w:tcW w:type="dxa" w:w="2448"/>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Carga el precio de venta en automático.</w:t>
            </w:r>
          </w:p>
        </w:tc>
      </w:tr>
      <w:tr>
        <w:tc>
          <w:tcPr>
            <w:tcW w:type="dxa" w:w="2160"/>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Expediente</w:t>
            </w:r>
          </w:p>
        </w:tc>
        <w:tc>
          <w:tcPr>
            <w:tcW w:type="dxa" w:w="3456"/>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Identificador de cliente y contrato</w:t>
            </w:r>
          </w:p>
        </w:tc>
        <w:tc>
          <w:tcPr>
            <w:tcW w:type="dxa" w:w="1296"/>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334155"/>
                <w:sz w:val="18"/>
              </w:rPr>
              <w:t>Sí</w:t>
            </w:r>
          </w:p>
        </w:tc>
        <w:tc>
          <w:tcPr>
            <w:tcW w:type="dxa" w:w="2448"/>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Formato [ID] - [Nombre Cliente].</w:t>
            </w:r>
          </w:p>
        </w:tc>
      </w:tr>
      <w:tr>
        <w:tc>
          <w:tcPr>
            <w:tcW w:type="dxa" w:w="2160"/>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Concepto</w:t>
            </w:r>
          </w:p>
        </w:tc>
        <w:tc>
          <w:tcPr>
            <w:tcW w:type="dxa" w:w="3456"/>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Tipo de hito comercial</w:t>
            </w:r>
          </w:p>
        </w:tc>
        <w:tc>
          <w:tcPr>
            <w:tcW w:type="dxa" w:w="1296"/>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334155"/>
                <w:sz w:val="18"/>
              </w:rPr>
              <w:t>Sí</w:t>
            </w:r>
          </w:p>
        </w:tc>
        <w:tc>
          <w:tcPr>
            <w:tcW w:type="dxa" w:w="2448"/>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Contrato, Escritura, Cancelación o Bono.</w:t>
            </w:r>
          </w:p>
        </w:tc>
      </w:tr>
      <w:tr>
        <w:tc>
          <w:tcPr>
            <w:tcW w:type="dxa" w:w="2160"/>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Destino Penalización</w:t>
            </w:r>
          </w:p>
        </w:tc>
        <w:tc>
          <w:tcPr>
            <w:tcW w:type="dxa" w:w="3456"/>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¿A quién aplica la deducción?</w:t>
            </w:r>
          </w:p>
        </w:tc>
        <w:tc>
          <w:tcPr>
            <w:tcW w:type="dxa" w:w="1296"/>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Condicional</w:t>
            </w:r>
          </w:p>
        </w:tc>
        <w:tc>
          <w:tcPr>
            <w:tcW w:type="dxa" w:w="2448"/>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Exclusivo si Concepto = Cancelación (Cliente vs Miembros).</w:t>
            </w:r>
          </w:p>
        </w:tc>
      </w:tr>
      <w:tr>
        <w:tc>
          <w:tcPr>
            <w:tcW w:type="dxa" w:w="2160"/>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Fecha Operación</w:t>
            </w:r>
          </w:p>
        </w:tc>
        <w:tc>
          <w:tcPr>
            <w:tcW w:type="dxa" w:w="3456"/>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Fecha de firma de contrato/escritura</w:t>
            </w:r>
          </w:p>
        </w:tc>
        <w:tc>
          <w:tcPr>
            <w:tcW w:type="dxa" w:w="1296"/>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334155"/>
                <w:sz w:val="18"/>
              </w:rPr>
              <w:t>Sí</w:t>
            </w:r>
          </w:p>
        </w:tc>
        <w:tc>
          <w:tcPr>
            <w:tcW w:type="dxa" w:w="2448"/>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Selector de calendario.</w:t>
            </w:r>
          </w:p>
        </w:tc>
      </w:tr>
      <w:tr>
        <w:tc>
          <w:tcPr>
            <w:tcW w:type="dxa" w:w="2160"/>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Precio de Venta</w:t>
            </w:r>
          </w:p>
        </w:tc>
        <w:tc>
          <w:tcPr>
            <w:tcW w:type="dxa" w:w="3456"/>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Monto pactado de la vivienda</w:t>
            </w:r>
          </w:p>
        </w:tc>
        <w:tc>
          <w:tcPr>
            <w:tcW w:type="dxa" w:w="1296"/>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334155"/>
                <w:sz w:val="18"/>
              </w:rPr>
              <w:t>Sí</w:t>
            </w:r>
          </w:p>
        </w:tc>
        <w:tc>
          <w:tcPr>
            <w:tcW w:type="dxa" w:w="2448"/>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Cargado automáticamente desde V10.</w:t>
            </w:r>
          </w:p>
        </w:tc>
      </w:tr>
      <w:tr>
        <w:tc>
          <w:tcPr>
            <w:tcW w:type="dxa" w:w="2160"/>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Gerentes (Filas 1-3)</w:t>
            </w:r>
          </w:p>
        </w:tc>
        <w:tc>
          <w:tcPr>
            <w:tcW w:type="dxa" w:w="3456"/>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Gerentes comisionistas</w:t>
            </w:r>
          </w:p>
        </w:tc>
        <w:tc>
          <w:tcPr>
            <w:tcW w:type="dxa" w:w="1296"/>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334155"/>
                <w:sz w:val="18"/>
              </w:rPr>
              <w:t>Sí</w:t>
            </w:r>
          </w:p>
        </w:tc>
        <w:tc>
          <w:tcPr>
            <w:tcW w:type="dxa" w:w="2448"/>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Selector de personal y porcentaje.</w:t>
            </w:r>
          </w:p>
        </w:tc>
      </w:tr>
      <w:tr>
        <w:tc>
          <w:tcPr>
            <w:tcW w:type="dxa" w:w="2160"/>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Asesores (Filas 1-3)</w:t>
            </w:r>
          </w:p>
        </w:tc>
        <w:tc>
          <w:tcPr>
            <w:tcW w:type="dxa" w:w="3456"/>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Asesores comisionistas</w:t>
            </w:r>
          </w:p>
        </w:tc>
        <w:tc>
          <w:tcPr>
            <w:tcW w:type="dxa" w:w="1296"/>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334155"/>
                <w:sz w:val="18"/>
              </w:rPr>
              <w:t>Sí</w:t>
            </w:r>
          </w:p>
        </w:tc>
        <w:tc>
          <w:tcPr>
            <w:tcW w:type="dxa" w:w="2448"/>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Selector de personal y porcentaje.</w:t>
            </w:r>
          </w:p>
        </w:tc>
      </w:tr>
      <w:tr>
        <w:tc>
          <w:tcPr>
            <w:tcW w:type="dxa" w:w="2160"/>
            <w:shd w:fill="FFFFFF"/>
            <w:tcMar>
              <w:top w:w="90" w:type="dxa"/>
              <w:bottom w:w="90" w:type="dxa"/>
              <w:left w:w="140" w:type="dxa"/>
              <w:right w:w="140" w:type="dxa"/>
            </w:tcMar>
            <w:tcBorders>
              <w:top w:val="single" w:sz="4" w:space="0" w:color="E2E8F0"/>
              <w:bottom w:val="single" w:sz="4" w:space="0" w:color="CBD5E1"/>
              <w:left w:val="single" w:sz="4" w:space="0" w:color="E2E8F0"/>
              <w:right w:val="single" w:sz="4" w:space="0" w:color="E2E8F0"/>
            </w:tcBorders>
          </w:tcPr>
          <w:p>
            <w:pPr>
              <w:spacing w:before="0" w:after="0"/>
            </w:pPr>
            <w:r>
              <w:rPr>
                <w:rFonts w:ascii="Arial" w:hAnsi="Arial"/>
                <w:color w:val="334155"/>
                <w:sz w:val="18"/>
              </w:rPr>
              <w:t>Multipunto (MP)</w:t>
            </w:r>
          </w:p>
        </w:tc>
        <w:tc>
          <w:tcPr>
            <w:tcW w:type="dxa" w:w="3456"/>
            <w:shd w:fill="FFFFFF"/>
            <w:tcMar>
              <w:top w:w="90" w:type="dxa"/>
              <w:bottom w:w="90" w:type="dxa"/>
              <w:left w:w="140" w:type="dxa"/>
              <w:right w:w="140" w:type="dxa"/>
            </w:tcMar>
            <w:tcBorders>
              <w:top w:val="single" w:sz="4" w:space="0" w:color="E2E8F0"/>
              <w:bottom w:val="single" w:sz="4" w:space="0" w:color="CBD5E1"/>
              <w:left w:val="single" w:sz="4" w:space="0" w:color="E2E8F0"/>
              <w:right w:val="single" w:sz="4" w:space="0" w:color="E2E8F0"/>
            </w:tcBorders>
          </w:tcPr>
          <w:p>
            <w:pPr>
              <w:spacing w:before="0" w:after="0"/>
            </w:pPr>
            <w:r>
              <w:rPr>
                <w:rFonts w:ascii="Arial" w:hAnsi="Arial"/>
                <w:color w:val="334155"/>
                <w:sz w:val="18"/>
              </w:rPr>
              <w:t>Esquema de venta compartida</w:t>
            </w:r>
          </w:p>
        </w:tc>
        <w:tc>
          <w:tcPr>
            <w:tcW w:type="dxa" w:w="1296"/>
            <w:shd w:fill="FFFFFF"/>
            <w:tcMar>
              <w:top w:w="90" w:type="dxa"/>
              <w:bottom w:w="90" w:type="dxa"/>
              <w:left w:w="140" w:type="dxa"/>
              <w:right w:w="140" w:type="dxa"/>
            </w:tcMar>
            <w:tcBorders>
              <w:top w:val="single" w:sz="4" w:space="0" w:color="E2E8F0"/>
              <w:bottom w:val="single" w:sz="4" w:space="0" w:color="CBD5E1"/>
              <w:left w:val="single" w:sz="4" w:space="0" w:color="E2E8F0"/>
              <w:right w:val="single" w:sz="4" w:space="0" w:color="E2E8F0"/>
            </w:tcBorders>
          </w:tcPr>
          <w:p>
            <w:pPr>
              <w:spacing w:before="0" w:after="0"/>
              <w:jc w:val="center"/>
            </w:pPr>
            <w:r>
              <w:rPr>
                <w:rFonts w:ascii="Arial" w:hAnsi="Arial"/>
                <w:color w:val="334155"/>
                <w:sz w:val="18"/>
              </w:rPr>
              <w:t>No</w:t>
            </w:r>
          </w:p>
        </w:tc>
        <w:tc>
          <w:tcPr>
            <w:tcW w:type="dxa" w:w="2448"/>
            <w:shd w:fill="FFFFFF"/>
            <w:tcMar>
              <w:top w:w="90" w:type="dxa"/>
              <w:bottom w:w="90" w:type="dxa"/>
              <w:left w:w="140" w:type="dxa"/>
              <w:right w:w="140" w:type="dxa"/>
            </w:tcMar>
            <w:tcBorders>
              <w:top w:val="single" w:sz="4" w:space="0" w:color="E2E8F0"/>
              <w:bottom w:val="single" w:sz="4" w:space="0" w:color="CBD5E1"/>
              <w:left w:val="single" w:sz="4" w:space="0" w:color="E2E8F0"/>
              <w:right w:val="single" w:sz="4" w:space="0" w:color="E2E8F0"/>
            </w:tcBorders>
          </w:tcPr>
          <w:p>
            <w:pPr>
              <w:spacing w:before="0" w:after="0"/>
            </w:pPr>
            <w:r>
              <w:rPr>
                <w:rFonts w:ascii="Arial" w:hAnsi="Arial"/>
                <w:color w:val="334155"/>
                <w:sz w:val="18"/>
              </w:rPr>
              <w:t>Casilla de verificación (*checkbox*).</w:t>
            </w:r>
          </w:p>
        </w:tc>
      </w:tr>
    </w:tbl>
    <w:p>
      <w:pPr>
        <w:spacing w:before="0" w:after="120"/>
      </w:pPr>
    </w:p>
    <w:p>
      <w:pPr>
        <w:pStyle w:val="Heading2"/>
        <w:keepNext/>
        <w:spacing w:before="200" w:after="80"/>
      </w:pPr>
      <w:r>
        <w:rPr>
          <w:rFonts w:ascii="Arial" w:hAnsi="Arial"/>
          <w:b/>
          <w:color w:val="166534"/>
          <w:sz w:val="26"/>
        </w:rPr>
        <w:t>5.2 Modal de Previsualización y Confirmación</w:t>
      </w:r>
    </w:p>
    <w:p>
      <w:r>
        <w:t>Al hacer clic en 'Guardar Comisión', el sistema no envía los datos a ciegas; despliega un modal oscuro con el desglose exacto en pesos ($) y porcentajes (%) de cada participante, la compañía y la ubicación. El usuario puede pulsar 'Editar' para regresar al formulario o 'Confirmar y Guardar' para emitir la comisión.</w:t>
      </w:r>
    </w:p>
    <w:p>
      <w:pPr>
        <w:pStyle w:val="Heading1"/>
        <w:keepNext/>
        <w:spacing w:before="280" w:after="80"/>
      </w:pPr>
      <w:r>
        <w:rPr>
          <w:rFonts w:ascii="Arial" w:hAnsi="Arial"/>
          <w:b/>
          <w:color w:val="0F3C3C"/>
          <w:sz w:val="32"/>
        </w:rPr>
        <w:t>6. Historial Consolidado por Propiedad</w:t>
      </w:r>
    </w:p>
    <w:p>
      <w:r>
        <w:t>Organiza la información agrupándola por Unidad Inmobiliaria (Ubicación), permitiendo visualizar en un solo bloque todas las comisiones que ha devengado una misma vivienda a lo largo del tiempo (fases de Contrato, Escritura y Bono).</w:t>
      </w:r>
    </w:p>
    <w:tbl>
      <w:tblPr>
        <w:tblW w:type="auto" w:w="0"/>
        <w:jc w:val="center"/>
        <w:tblLayout w:type="fixed"/>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single" w:sz="4" w:space="0" w:color="E2E8F0"/>
              <w:bottom w:val="single" w:sz="4" w:space="0" w:color="E2E8F0"/>
              <w:left w:val="single" w:sz="24" w:space="0" w:color="059669"/>
              <w:right w:val="single" w:sz="4" w:space="0" w:color="E2E8F0"/>
            </w:tcBorders>
          </w:tcPr>
          <w:p>
            <w:pPr>
              <w:spacing w:before="0" w:after="40"/>
            </w:pPr>
            <w:r>
              <w:rPr>
                <w:b/>
                <w:color w:val="047857"/>
                <w:sz w:val="20"/>
              </w:rPr>
              <w:t>📌 Captura pendiente de agregar</w:t>
              <w:br/>
            </w:r>
            <w:r>
              <w:rPr>
                <w:color w:val="1E293B"/>
                <w:sz w:val="19"/>
              </w:rPr>
              <w:t>Figura 4. Vista de Historial por Ubicación con Acordeón de Fases Desplegado.</w:t>
            </w:r>
          </w:p>
        </w:tc>
      </w:tr>
    </w:tbl>
    <w:p>
      <w:pPr>
        <w:spacing w:before="0" w:after="120"/>
      </w:pPr>
    </w:p>
    <w:p>
      <w:pPr>
        <w:pStyle w:val="Heading2"/>
        <w:keepNext/>
        <w:spacing w:before="200" w:after="80"/>
      </w:pPr>
      <w:r>
        <w:rPr>
          <w:rFonts w:ascii="Arial" w:hAnsi="Arial"/>
          <w:b/>
          <w:color w:val="166534"/>
          <w:sz w:val="26"/>
        </w:rPr>
        <w:t>6.1 Funcionalidad 'Registrar Escritura desde Contrato'</w:t>
      </w:r>
    </w:p>
    <w:p>
      <w:r>
        <w:t>Cuando una vivienda ya tiene registrada su comisión de Contrato y llega el momento de la escrituración:</w:t>
        <w:br/>
        <w:t>1. Ingrese a Historial y busque la propiedad.</w:t>
        <w:br/>
        <w:t>2. Abra el bloque de la vivienda y en la columna 'Escritura' haga clic en 'Registrar comisión de escritura'.</w:t>
        <w:br/>
        <w:t>3. El formulario se abrirá con la compañía, desarrollo, lote, cliente, precio y participantes precargados y protegidos.</w:t>
        <w:br/>
        <w:t>4. Capture únicamente la fecha de escritura y confirme. Esto previene errores de captura y discrepancias entre fases.</w:t>
      </w:r>
    </w:p>
    <w:p>
      <w:pPr>
        <w:pStyle w:val="Heading1"/>
        <w:keepNext/>
        <w:spacing w:before="280" w:after="80"/>
      </w:pPr>
      <w:r>
        <w:rPr>
          <w:rFonts w:ascii="Arial" w:hAnsi="Arial"/>
          <w:b/>
          <w:color w:val="0F3C3C"/>
          <w:sz w:val="32"/>
        </w:rPr>
        <w:t>7. Dashboard de KPIs y Analítica Comercial</w:t>
      </w:r>
    </w:p>
    <w:p>
      <w:r>
        <w:t>Proporciona a la Dirección y Gerencia comercial un centro de mando visual para la toma de decisiones estratégicas con métricas actualizadas en tiempo real.</w:t>
      </w:r>
    </w:p>
    <w:tbl>
      <w:tblPr>
        <w:tblW w:type="auto" w:w="0"/>
        <w:jc w:val="center"/>
        <w:tblLayout w:type="fixed"/>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single" w:sz="4" w:space="0" w:color="E2E8F0"/>
              <w:bottom w:val="single" w:sz="4" w:space="0" w:color="E2E8F0"/>
              <w:left w:val="single" w:sz="24" w:space="0" w:color="059669"/>
              <w:right w:val="single" w:sz="4" w:space="0" w:color="E2E8F0"/>
            </w:tcBorders>
          </w:tcPr>
          <w:p>
            <w:pPr>
              <w:spacing w:before="0" w:after="40"/>
            </w:pPr>
            <w:r>
              <w:rPr>
                <w:b/>
                <w:color w:val="047857"/>
                <w:sz w:val="20"/>
              </w:rPr>
              <w:t>📌 Captura pendiente de agregar</w:t>
              <w:br/>
            </w:r>
            <w:r>
              <w:rPr>
                <w:color w:val="1E293B"/>
                <w:sz w:val="19"/>
              </w:rPr>
              <w:t>Figura 5. Dashboard de Métricas KPIs, Rankings Comerciales y Tabla de Desarrollos.</w:t>
            </w:r>
          </w:p>
        </w:tc>
      </w:tr>
    </w:tbl>
    <w:p>
      <w:pPr>
        <w:spacing w:before="0" w:after="120"/>
      </w:pPr>
    </w:p>
    <w:p>
      <w:pPr>
        <w:pStyle w:val="Heading2"/>
        <w:keepNext/>
        <w:spacing w:before="200" w:after="80"/>
      </w:pPr>
      <w:r>
        <w:rPr>
          <w:rFonts w:ascii="Arial" w:hAnsi="Arial"/>
          <w:b/>
          <w:color w:val="166534"/>
          <w:sz w:val="26"/>
        </w:rPr>
        <w:t>7.1 Tarjetas de Indicadores Ejecutivos</w:t>
      </w:r>
    </w:p>
    <w:p>
      <w:pPr>
        <w:pStyle w:val="ListBullet"/>
        <w:spacing w:before="40" w:after="40"/>
      </w:pPr>
      <w:r>
        <w:rPr>
          <w:b/>
          <w:color w:val="0F172A"/>
        </w:rPr>
        <w:t xml:space="preserve">Volumen Total Vendido: </w:t>
      </w:r>
      <w:r>
        <w:rPr>
          <w:color w:val="334155"/>
        </w:rPr>
        <w:t>Monto global acumulado en pesos de operaciones cerradas exitosamente.</w:t>
      </w:r>
    </w:p>
    <w:p>
      <w:pPr>
        <w:pStyle w:val="ListBullet"/>
        <w:spacing w:before="40" w:after="40"/>
      </w:pPr>
      <w:r>
        <w:rPr>
          <w:b/>
          <w:color w:val="0F172A"/>
        </w:rPr>
        <w:t xml:space="preserve">Comisiones Generadas: </w:t>
      </w:r>
      <w:r>
        <w:rPr>
          <w:color w:val="334155"/>
        </w:rPr>
        <w:t>Importe total de comisiones distribuidas al equipo comercial.</w:t>
      </w:r>
    </w:p>
    <w:p>
      <w:pPr>
        <w:pStyle w:val="ListBullet"/>
        <w:spacing w:before="40" w:after="40"/>
      </w:pPr>
      <w:r>
        <w:rPr>
          <w:b/>
          <w:color w:val="0F172A"/>
        </w:rPr>
        <w:t xml:space="preserve">Cierres Exitosos: </w:t>
      </w:r>
      <w:r>
        <w:rPr>
          <w:color w:val="334155"/>
        </w:rPr>
        <w:t>Total de contratos y escrituras formalizados en el periodo.</w:t>
      </w:r>
    </w:p>
    <w:p>
      <w:pPr>
        <w:pStyle w:val="ListBullet"/>
        <w:spacing w:before="40" w:after="40"/>
      </w:pPr>
      <w:r>
        <w:rPr>
          <w:b/>
          <w:color w:val="0F172A"/>
        </w:rPr>
        <w:t xml:space="preserve">Cancelaciones y Tasa (%): </w:t>
      </w:r>
      <w:r>
        <w:rPr>
          <w:color w:val="334155"/>
        </w:rPr>
        <w:t>Conteo de cancelaciones y porcentaje relativo sobre el total de ventas.</w:t>
      </w:r>
    </w:p>
    <w:p>
      <w:pPr>
        <w:pStyle w:val="ListBullet"/>
        <w:spacing w:before="40" w:after="40"/>
      </w:pPr>
      <w:r>
        <w:rPr>
          <w:b/>
          <w:color w:val="0F172A"/>
        </w:rPr>
        <w:t xml:space="preserve">Comisión Promedio: </w:t>
      </w:r>
      <w:r>
        <w:rPr>
          <w:color w:val="334155"/>
        </w:rPr>
        <w:t>Ticket promedio de comisión por operación cerrada.</w:t>
      </w:r>
    </w:p>
    <w:p>
      <w:pPr>
        <w:pStyle w:val="Heading2"/>
        <w:keepNext/>
        <w:spacing w:before="200" w:after="80"/>
      </w:pPr>
      <w:r>
        <w:rPr>
          <w:rFonts w:ascii="Arial" w:hAnsi="Arial"/>
          <w:b/>
          <w:color w:val="166534"/>
          <w:sz w:val="26"/>
        </w:rPr>
        <w:t>7.2 Tabla de Desarrollos y Absorción de Inventario</w:t>
      </w:r>
    </w:p>
    <w:p>
      <w:r>
        <w:t>Tabla con 9 columnas que compara las viviendas totales del desarrollo, las vendidas en V10 (ERP maestro), las vendidas en Sistema NOVU, el porcentaje de absorción de mercado y los montos vendidos/cancelados. Cuenta con ordenamiento dinámico de 3 clics (Descendente -&gt; Ascendente -&gt; Original) y botón de Exportar a CSV.</w:t>
      </w:r>
    </w:p>
    <w:p>
      <w:pPr>
        <w:pStyle w:val="Heading1"/>
        <w:keepNext/>
        <w:spacing w:before="280" w:after="80"/>
      </w:pPr>
      <w:r>
        <w:rPr>
          <w:rFonts w:ascii="Arial" w:hAnsi="Arial"/>
          <w:b/>
          <w:color w:val="0F3C3C"/>
          <w:sz w:val="32"/>
        </w:rPr>
        <w:t>8. Cartera de Deudores y Control de Saldos</w:t>
      </w:r>
    </w:p>
    <w:p>
      <w:r>
        <w:t>Módulo financiero para la gestión de cuentas corrientes de asesores y gerentes. Mantiene una separación estricta entre las deudas activas (préstamos o penalizaciones por cancelación) y los saldos positivos ganados.</w:t>
      </w:r>
    </w:p>
    <w:tbl>
      <w:tblPr>
        <w:tblW w:type="auto" w:w="0"/>
        <w:jc w:val="center"/>
        <w:tblLayout w:type="fixed"/>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single" w:sz="4" w:space="0" w:color="E2E8F0"/>
              <w:bottom w:val="single" w:sz="4" w:space="0" w:color="E2E8F0"/>
              <w:left w:val="single" w:sz="24" w:space="0" w:color="059669"/>
              <w:right w:val="single" w:sz="4" w:space="0" w:color="E2E8F0"/>
            </w:tcBorders>
          </w:tcPr>
          <w:p>
            <w:pPr>
              <w:spacing w:before="0" w:after="40"/>
            </w:pPr>
            <w:r>
              <w:rPr>
                <w:b/>
                <w:color w:val="047857"/>
                <w:sz w:val="20"/>
              </w:rPr>
              <w:t>📌 Captura pendiente de agregar</w:t>
              <w:br/>
            </w:r>
            <w:r>
              <w:rPr>
                <w:color w:val="1E293B"/>
                <w:sz w:val="19"/>
              </w:rPr>
              <w:t>Figura 6. Ficha de Cartera de Deudores con herramientas de cobro/abono.</w:t>
            </w:r>
          </w:p>
        </w:tc>
      </w:tr>
    </w:tbl>
    <w:p>
      <w:pPr>
        <w:spacing w:before="0" w:after="120"/>
      </w:pPr>
    </w:p>
    <w:p>
      <w:pPr>
        <w:pStyle w:val="Heading2"/>
        <w:keepNext/>
        <w:spacing w:before="200" w:after="80"/>
      </w:pPr>
      <w:r>
        <w:rPr>
          <w:rFonts w:ascii="Arial" w:hAnsi="Arial"/>
          <w:b/>
          <w:color w:val="166534"/>
          <w:sz w:val="26"/>
        </w:rPr>
        <w:t>8.1 Operaciones Financieras Disponibles</w:t>
      </w:r>
    </w:p>
    <w:p>
      <w:pPr>
        <w:pStyle w:val="ListBullet"/>
        <w:spacing w:before="40" w:after="40"/>
      </w:pPr>
      <w:r>
        <w:rPr>
          <w:b/>
          <w:color w:val="0F172A"/>
        </w:rPr>
        <w:t xml:space="preserve">Registro de Préstamo / Cargo: </w:t>
      </w:r>
      <w:r>
        <w:rPr>
          <w:color w:val="334155"/>
        </w:rPr>
        <w:t>Permite agregar una deuda activa al colaborador indicando monto y concepto.</w:t>
      </w:r>
    </w:p>
    <w:p>
      <w:pPr>
        <w:pStyle w:val="ListBullet"/>
        <w:spacing w:before="40" w:after="40"/>
      </w:pPr>
      <w:r>
        <w:rPr>
          <w:b/>
          <w:color w:val="0F172A"/>
        </w:rPr>
        <w:t xml:space="preserve">Aplicar Abono a Deuda: </w:t>
      </w:r>
      <w:r>
        <w:rPr>
          <w:color w:val="334155"/>
        </w:rPr>
        <w:t>Permite liquidar deuda descontando de las comisiones activas o saldo a favor del colaborador. El sistema valida que el abono no exceda la deuda ni el saldo disponible.</w:t>
      </w:r>
    </w:p>
    <w:p>
      <w:pPr>
        <w:pStyle w:val="ListBullet"/>
        <w:spacing w:before="40" w:after="40"/>
      </w:pPr>
      <w:r>
        <w:rPr>
          <w:b/>
          <w:color w:val="0F172A"/>
        </w:rPr>
        <w:t xml:space="preserve">Historial de Movimientos: </w:t>
      </w:r>
      <w:r>
        <w:rPr>
          <w:color w:val="334155"/>
        </w:rPr>
        <w:t>Auditoría completa de abonos, cargos, comisiones y créditos por usuario.</w:t>
      </w:r>
    </w:p>
    <w:p>
      <w:pPr>
        <w:pStyle w:val="Heading1"/>
        <w:keepNext/>
        <w:spacing w:before="280" w:after="80"/>
      </w:pPr>
      <w:r>
        <w:rPr>
          <w:rFonts w:ascii="Arial" w:hAnsi="Arial"/>
          <w:b/>
          <w:color w:val="0F3C3C"/>
          <w:sz w:val="32"/>
        </w:rPr>
        <w:t>9. Gestión de Usuarios y Accesos</w:t>
      </w:r>
    </w:p>
    <w:p>
      <w:r>
        <w:t>Módulo reservado para el Administrador. Permite dar de alta colaboradores, definir roles, asignar gerentes a asesores, editar datos de emergencia, actualizar fotos de perfil y dar de baja lógica cuentas.</w:t>
      </w:r>
    </w:p>
    <w:tbl>
      <w:tblPr>
        <w:tblW w:type="auto" w:w="0"/>
        <w:jc w:val="center"/>
        <w:tblLayout w:type="fixed"/>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single" w:sz="4" w:space="0" w:color="E2E8F0"/>
              <w:bottom w:val="single" w:sz="4" w:space="0" w:color="E2E8F0"/>
              <w:left w:val="single" w:sz="24" w:space="0" w:color="059669"/>
              <w:right w:val="single" w:sz="4" w:space="0" w:color="E2E8F0"/>
            </w:tcBorders>
          </w:tcPr>
          <w:p>
            <w:pPr>
              <w:spacing w:before="0" w:after="40"/>
            </w:pPr>
            <w:r>
              <w:rPr>
                <w:b/>
                <w:color w:val="047857"/>
                <w:sz w:val="20"/>
              </w:rPr>
              <w:t>📌 Captura pendiente de agregar</w:t>
              <w:br/>
            </w:r>
            <w:r>
              <w:rPr>
                <w:color w:val="1E293B"/>
                <w:sz w:val="19"/>
              </w:rPr>
              <w:t>Figura 7. Módulo de Gestión de Usuarios y Formulario de Alta.</w:t>
            </w:r>
          </w:p>
        </w:tc>
      </w:tr>
    </w:tbl>
    <w:p>
      <w:pPr>
        <w:spacing w:before="0" w:after="120"/>
      </w:pPr>
    </w:p>
    <w:p>
      <w:pPr>
        <w:pStyle w:val="Heading1"/>
        <w:keepNext/>
        <w:spacing w:before="280" w:after="80"/>
      </w:pPr>
      <w:r>
        <w:rPr>
          <w:rFonts w:ascii="Arial" w:hAnsi="Arial"/>
          <w:b/>
          <w:color w:val="0F3C3C"/>
          <w:sz w:val="32"/>
        </w:rPr>
        <w:t>10. Matriz de Permisos por Rol</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312"/>
            <w:shd w:fill="1E3A3A"/>
            <w:tcMar>
              <w:top w:w="120" w:type="dxa"/>
              <w:bottom w:w="120" w:type="dxa"/>
              <w:left w:w="140" w:type="dxa"/>
              <w:right w:w="140" w:type="dxa"/>
            </w:tcMar>
            <w:tcBorders>
              <w:top w:val="single" w:sz="6" w:space="0" w:color="0F2828"/>
              <w:bottom w:val="single" w:sz="12" w:space="0" w:color="166534"/>
              <w:left w:val="single" w:sz="4" w:space="0" w:color="2E5A5A"/>
              <w:right w:val="single" w:sz="4" w:space="0" w:color="2E5A5A"/>
            </w:tcBorders>
          </w:tcPr>
          <w:p>
            <w:pPr>
              <w:jc w:val="left"/>
            </w:pPr>
            <w:r>
              <w:rPr>
                <w:rFonts w:ascii="Arial" w:hAnsi="Arial"/>
                <w:b/>
                <w:color w:val="FFFFFF"/>
                <w:sz w:val="19"/>
              </w:rPr>
              <w:t>Funcionalidad / Módulo</w:t>
            </w:r>
          </w:p>
        </w:tc>
        <w:tc>
          <w:tcPr>
            <w:tcW w:type="dxa" w:w="1584"/>
            <w:shd w:fill="1E3A3A"/>
            <w:tcMar>
              <w:top w:w="120" w:type="dxa"/>
              <w:bottom w:w="120" w:type="dxa"/>
              <w:left w:w="140" w:type="dxa"/>
              <w:right w:w="140" w:type="dxa"/>
            </w:tcMar>
            <w:tcBorders>
              <w:top w:val="single" w:sz="6" w:space="0" w:color="0F2828"/>
              <w:bottom w:val="single" w:sz="12" w:space="0" w:color="166534"/>
              <w:left w:val="single" w:sz="4" w:space="0" w:color="2E5A5A"/>
              <w:right w:val="single" w:sz="4" w:space="0" w:color="2E5A5A"/>
            </w:tcBorders>
          </w:tcPr>
          <w:p>
            <w:pPr>
              <w:jc w:val="left"/>
            </w:pPr>
            <w:r>
              <w:rPr>
                <w:rFonts w:ascii="Arial" w:hAnsi="Arial"/>
                <w:b/>
                <w:color w:val="FFFFFF"/>
                <w:sz w:val="19"/>
              </w:rPr>
              <w:t>Administrador</w:t>
            </w:r>
          </w:p>
        </w:tc>
        <w:tc>
          <w:tcPr>
            <w:tcW w:type="dxa" w:w="1584"/>
            <w:shd w:fill="1E3A3A"/>
            <w:tcMar>
              <w:top w:w="120" w:type="dxa"/>
              <w:bottom w:w="120" w:type="dxa"/>
              <w:left w:w="140" w:type="dxa"/>
              <w:right w:w="140" w:type="dxa"/>
            </w:tcMar>
            <w:tcBorders>
              <w:top w:val="single" w:sz="6" w:space="0" w:color="0F2828"/>
              <w:bottom w:val="single" w:sz="12" w:space="0" w:color="166534"/>
              <w:left w:val="single" w:sz="4" w:space="0" w:color="2E5A5A"/>
              <w:right w:val="single" w:sz="4" w:space="0" w:color="2E5A5A"/>
            </w:tcBorders>
          </w:tcPr>
          <w:p>
            <w:pPr>
              <w:jc w:val="center"/>
            </w:pPr>
            <w:r>
              <w:rPr>
                <w:rFonts w:ascii="Arial" w:hAnsi="Arial"/>
                <w:b/>
                <w:color w:val="FFFFFF"/>
                <w:sz w:val="19"/>
              </w:rPr>
              <w:t>Director</w:t>
            </w:r>
          </w:p>
        </w:tc>
        <w:tc>
          <w:tcPr>
            <w:tcW w:type="dxa" w:w="1440"/>
            <w:shd w:fill="1E3A3A"/>
            <w:tcMar>
              <w:top w:w="120" w:type="dxa"/>
              <w:bottom w:w="120" w:type="dxa"/>
              <w:left w:w="140" w:type="dxa"/>
              <w:right w:w="140" w:type="dxa"/>
            </w:tcMar>
            <w:tcBorders>
              <w:top w:val="single" w:sz="6" w:space="0" w:color="0F2828"/>
              <w:bottom w:val="single" w:sz="12" w:space="0" w:color="166534"/>
              <w:left w:val="single" w:sz="4" w:space="0" w:color="2E5A5A"/>
              <w:right w:val="single" w:sz="4" w:space="0" w:color="2E5A5A"/>
            </w:tcBorders>
          </w:tcPr>
          <w:p>
            <w:pPr>
              <w:jc w:val="center"/>
            </w:pPr>
            <w:r>
              <w:rPr>
                <w:rFonts w:ascii="Arial" w:hAnsi="Arial"/>
                <w:b/>
                <w:color w:val="FFFFFF"/>
                <w:sz w:val="19"/>
              </w:rPr>
              <w:t>Gerente</w:t>
            </w:r>
          </w:p>
        </w:tc>
        <w:tc>
          <w:tcPr>
            <w:tcW w:type="dxa" w:w="1440"/>
            <w:shd w:fill="1E3A3A"/>
            <w:tcMar>
              <w:top w:w="120" w:type="dxa"/>
              <w:bottom w:w="120" w:type="dxa"/>
              <w:left w:w="140" w:type="dxa"/>
              <w:right w:w="140" w:type="dxa"/>
            </w:tcMar>
            <w:tcBorders>
              <w:top w:val="single" w:sz="6" w:space="0" w:color="0F2828"/>
              <w:bottom w:val="single" w:sz="12" w:space="0" w:color="166534"/>
              <w:left w:val="single" w:sz="4" w:space="0" w:color="2E5A5A"/>
              <w:right w:val="single" w:sz="4" w:space="0" w:color="2E5A5A"/>
            </w:tcBorders>
          </w:tcPr>
          <w:p>
            <w:pPr>
              <w:jc w:val="center"/>
            </w:pPr>
            <w:r>
              <w:rPr>
                <w:rFonts w:ascii="Arial" w:hAnsi="Arial"/>
                <w:b/>
                <w:color w:val="FFFFFF"/>
                <w:sz w:val="19"/>
              </w:rPr>
              <w:t>Asesor</w:t>
            </w:r>
          </w:p>
        </w:tc>
      </w:tr>
      <w:tr>
        <w:tc>
          <w:tcPr>
            <w:tcW w:type="dxa" w:w="331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Acceso a Login y Mi Perfil</w:t>
            </w:r>
          </w:p>
        </w:tc>
        <w:tc>
          <w:tcPr>
            <w:tcW w:type="dxa" w:w="1584"/>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584"/>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440"/>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440"/>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r>
      <w:tr>
        <w:tc>
          <w:tcPr>
            <w:tcW w:type="dxa" w:w="331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Ver 'Mis Comisiones'</w:t>
            </w:r>
          </w:p>
        </w:tc>
        <w:tc>
          <w:tcPr>
            <w:tcW w:type="dxa" w:w="1584"/>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584"/>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440"/>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440"/>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r>
      <w:tr>
        <w:tc>
          <w:tcPr>
            <w:tcW w:type="dxa" w:w="331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Ver 'Todas las Comisiones' (Global)</w:t>
            </w:r>
          </w:p>
        </w:tc>
        <w:tc>
          <w:tcPr>
            <w:tcW w:type="dxa" w:w="1584"/>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584"/>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440"/>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94A3B8"/>
                <w:sz w:val="18"/>
              </w:rPr>
              <w:t>—</w:t>
            </w:r>
          </w:p>
        </w:tc>
        <w:tc>
          <w:tcPr>
            <w:tcW w:type="dxa" w:w="1440"/>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94A3B8"/>
                <w:sz w:val="18"/>
              </w:rPr>
              <w:t>—</w:t>
            </w:r>
          </w:p>
        </w:tc>
      </w:tr>
      <w:tr>
        <w:tc>
          <w:tcPr>
            <w:tcW w:type="dxa" w:w="331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Verificar Participación Individual</w:t>
            </w:r>
          </w:p>
        </w:tc>
        <w:tc>
          <w:tcPr>
            <w:tcW w:type="dxa" w:w="1584"/>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584"/>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440"/>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440"/>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r>
      <w:tr>
        <w:tc>
          <w:tcPr>
            <w:tcW w:type="dxa" w:w="331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Registrar Nueva Comisión</w:t>
            </w:r>
          </w:p>
        </w:tc>
        <w:tc>
          <w:tcPr>
            <w:tcW w:type="dxa" w:w="1584"/>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584"/>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440"/>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440"/>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94A3B8"/>
                <w:sz w:val="18"/>
              </w:rPr>
              <w:t>—</w:t>
            </w:r>
          </w:p>
        </w:tc>
      </w:tr>
      <w:tr>
        <w:tc>
          <w:tcPr>
            <w:tcW w:type="dxa" w:w="331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Editar / Eliminar Comisión propia</w:t>
            </w:r>
          </w:p>
        </w:tc>
        <w:tc>
          <w:tcPr>
            <w:tcW w:type="dxa" w:w="1584"/>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584"/>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440"/>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440"/>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94A3B8"/>
                <w:sz w:val="18"/>
              </w:rPr>
              <w:t>—</w:t>
            </w:r>
          </w:p>
        </w:tc>
      </w:tr>
      <w:tr>
        <w:tc>
          <w:tcPr>
            <w:tcW w:type="dxa" w:w="331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Aprobar Comisiones (Pase a Pago)</w:t>
            </w:r>
          </w:p>
        </w:tc>
        <w:tc>
          <w:tcPr>
            <w:tcW w:type="dxa" w:w="1584"/>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 (Dev)</w:t>
            </w:r>
          </w:p>
        </w:tc>
        <w:tc>
          <w:tcPr>
            <w:tcW w:type="dxa" w:w="1584"/>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440"/>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94A3B8"/>
                <w:sz w:val="18"/>
              </w:rPr>
              <w:t>—</w:t>
            </w:r>
          </w:p>
        </w:tc>
        <w:tc>
          <w:tcPr>
            <w:tcW w:type="dxa" w:w="1440"/>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94A3B8"/>
                <w:sz w:val="18"/>
              </w:rPr>
              <w:t>—</w:t>
            </w:r>
          </w:p>
        </w:tc>
      </w:tr>
      <w:tr>
        <w:tc>
          <w:tcPr>
            <w:tcW w:type="dxa" w:w="331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Solicitar Corrección con Comentarios</w:t>
            </w:r>
          </w:p>
        </w:tc>
        <w:tc>
          <w:tcPr>
            <w:tcW w:type="dxa" w:w="1584"/>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584"/>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440"/>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94A3B8"/>
                <w:sz w:val="18"/>
              </w:rPr>
              <w:t>—</w:t>
            </w:r>
          </w:p>
        </w:tc>
        <w:tc>
          <w:tcPr>
            <w:tcW w:type="dxa" w:w="1440"/>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94A3B8"/>
                <w:sz w:val="18"/>
              </w:rPr>
              <w:t>—</w:t>
            </w:r>
          </w:p>
        </w:tc>
      </w:tr>
      <w:tr>
        <w:tc>
          <w:tcPr>
            <w:tcW w:type="dxa" w:w="331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Marcar Comisión como Pagada</w:t>
            </w:r>
          </w:p>
        </w:tc>
        <w:tc>
          <w:tcPr>
            <w:tcW w:type="dxa" w:w="1584"/>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584"/>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94A3B8"/>
                <w:sz w:val="18"/>
              </w:rPr>
              <w:t>—</w:t>
            </w:r>
          </w:p>
        </w:tc>
        <w:tc>
          <w:tcPr>
            <w:tcW w:type="dxa" w:w="1440"/>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94A3B8"/>
                <w:sz w:val="18"/>
              </w:rPr>
              <w:t>—</w:t>
            </w:r>
          </w:p>
        </w:tc>
        <w:tc>
          <w:tcPr>
            <w:tcW w:type="dxa" w:w="1440"/>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94A3B8"/>
                <w:sz w:val="18"/>
              </w:rPr>
              <w:t>—</w:t>
            </w:r>
          </w:p>
        </w:tc>
      </w:tr>
      <w:tr>
        <w:tc>
          <w:tcPr>
            <w:tcW w:type="dxa" w:w="331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Ver Comisión de Dirección</w:t>
            </w:r>
          </w:p>
        </w:tc>
        <w:tc>
          <w:tcPr>
            <w:tcW w:type="dxa" w:w="1584"/>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584"/>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440"/>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94A3B8"/>
                <w:sz w:val="18"/>
              </w:rPr>
              <w:t>—</w:t>
            </w:r>
          </w:p>
        </w:tc>
        <w:tc>
          <w:tcPr>
            <w:tcW w:type="dxa" w:w="1440"/>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94A3B8"/>
                <w:sz w:val="18"/>
              </w:rPr>
              <w:t>—</w:t>
            </w:r>
          </w:p>
        </w:tc>
      </w:tr>
      <w:tr>
        <w:tc>
          <w:tcPr>
            <w:tcW w:type="dxa" w:w="331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Registrar Escritura desde Contrato</w:t>
            </w:r>
          </w:p>
        </w:tc>
        <w:tc>
          <w:tcPr>
            <w:tcW w:type="dxa" w:w="1584"/>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584"/>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440"/>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440"/>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94A3B8"/>
                <w:sz w:val="18"/>
              </w:rPr>
              <w:t>—</w:t>
            </w:r>
          </w:p>
        </w:tc>
      </w:tr>
      <w:tr>
        <w:tc>
          <w:tcPr>
            <w:tcW w:type="dxa" w:w="331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Historial Consolidado de Fases</w:t>
            </w:r>
          </w:p>
        </w:tc>
        <w:tc>
          <w:tcPr>
            <w:tcW w:type="dxa" w:w="1584"/>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584"/>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440"/>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440"/>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r>
      <w:tr>
        <w:tc>
          <w:tcPr>
            <w:tcW w:type="dxa" w:w="331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Dashboard de KPIs y Analítica</w:t>
            </w:r>
          </w:p>
        </w:tc>
        <w:tc>
          <w:tcPr>
            <w:tcW w:type="dxa" w:w="1584"/>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584"/>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440"/>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440"/>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94A3B8"/>
                <w:sz w:val="18"/>
              </w:rPr>
              <w:t>—</w:t>
            </w:r>
          </w:p>
        </w:tc>
      </w:tr>
      <w:tr>
        <w:tc>
          <w:tcPr>
            <w:tcW w:type="dxa" w:w="331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Ranking 'Top Gerentes'</w:t>
            </w:r>
          </w:p>
        </w:tc>
        <w:tc>
          <w:tcPr>
            <w:tcW w:type="dxa" w:w="1584"/>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584"/>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440"/>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94A3B8"/>
                <w:sz w:val="18"/>
              </w:rPr>
              <w:t>—</w:t>
            </w:r>
          </w:p>
        </w:tc>
        <w:tc>
          <w:tcPr>
            <w:tcW w:type="dxa" w:w="1440"/>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94A3B8"/>
                <w:sz w:val="18"/>
              </w:rPr>
              <w:t>—</w:t>
            </w:r>
          </w:p>
        </w:tc>
      </w:tr>
      <w:tr>
        <w:tc>
          <w:tcPr>
            <w:tcW w:type="dxa" w:w="331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Exportar Tablas a CSV</w:t>
            </w:r>
          </w:p>
        </w:tc>
        <w:tc>
          <w:tcPr>
            <w:tcW w:type="dxa" w:w="1584"/>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584"/>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440"/>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94A3B8"/>
                <w:sz w:val="18"/>
              </w:rPr>
              <w:t>—</w:t>
            </w:r>
          </w:p>
        </w:tc>
        <w:tc>
          <w:tcPr>
            <w:tcW w:type="dxa" w:w="1440"/>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94A3B8"/>
                <w:sz w:val="18"/>
              </w:rPr>
              <w:t>—</w:t>
            </w:r>
          </w:p>
        </w:tc>
      </w:tr>
      <w:tr>
        <w:tc>
          <w:tcPr>
            <w:tcW w:type="dxa" w:w="331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Cartera de Deudores (Wallet)</w:t>
            </w:r>
          </w:p>
        </w:tc>
        <w:tc>
          <w:tcPr>
            <w:tcW w:type="dxa" w:w="1584"/>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584"/>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440"/>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440"/>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94A3B8"/>
                <w:sz w:val="18"/>
              </w:rPr>
              <w:t>—</w:t>
            </w:r>
          </w:p>
        </w:tc>
      </w:tr>
      <w:tr>
        <w:tc>
          <w:tcPr>
            <w:tcW w:type="dxa" w:w="331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Sincronizar Base de Datos V10</w:t>
            </w:r>
          </w:p>
        </w:tc>
        <w:tc>
          <w:tcPr>
            <w:tcW w:type="dxa" w:w="1584"/>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584"/>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440"/>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94A3B8"/>
                <w:sz w:val="18"/>
              </w:rPr>
              <w:t>—</w:t>
            </w:r>
          </w:p>
        </w:tc>
        <w:tc>
          <w:tcPr>
            <w:tcW w:type="dxa" w:w="1440"/>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94A3B8"/>
                <w:sz w:val="18"/>
              </w:rPr>
              <w:t>—</w:t>
            </w:r>
          </w:p>
        </w:tc>
      </w:tr>
      <w:tr>
        <w:tc>
          <w:tcPr>
            <w:tcW w:type="dxa" w:w="3312"/>
            <w:shd w:fill="F8FAFC"/>
            <w:tcMar>
              <w:top w:w="90" w:type="dxa"/>
              <w:bottom w:w="90" w:type="dxa"/>
              <w:left w:w="140" w:type="dxa"/>
              <w:right w:w="140" w:type="dxa"/>
            </w:tcMar>
            <w:tcBorders>
              <w:top w:val="single" w:sz="4" w:space="0" w:color="E2E8F0"/>
              <w:bottom w:val="single" w:sz="4" w:space="0" w:color="CBD5E1"/>
              <w:left w:val="single" w:sz="4" w:space="0" w:color="E2E8F0"/>
              <w:right w:val="single" w:sz="4" w:space="0" w:color="E2E8F0"/>
            </w:tcBorders>
          </w:tcPr>
          <w:p>
            <w:pPr>
              <w:spacing w:before="0" w:after="0"/>
            </w:pPr>
            <w:r>
              <w:rPr>
                <w:rFonts w:ascii="Arial" w:hAnsi="Arial"/>
                <w:color w:val="334155"/>
                <w:sz w:val="18"/>
              </w:rPr>
              <w:t>Crear y Modificar Usuarios</w:t>
            </w:r>
          </w:p>
        </w:tc>
        <w:tc>
          <w:tcPr>
            <w:tcW w:type="dxa" w:w="1584"/>
            <w:shd w:fill="F8FAFC"/>
            <w:tcMar>
              <w:top w:w="90" w:type="dxa"/>
              <w:bottom w:w="90" w:type="dxa"/>
              <w:left w:w="140" w:type="dxa"/>
              <w:right w:w="140" w:type="dxa"/>
            </w:tcMar>
            <w:tcBorders>
              <w:top w:val="single" w:sz="4" w:space="0" w:color="E2E8F0"/>
              <w:bottom w:val="single" w:sz="4" w:space="0" w:color="CBD5E1"/>
              <w:left w:val="single" w:sz="4" w:space="0" w:color="E2E8F0"/>
              <w:right w:val="single" w:sz="4" w:space="0" w:color="E2E8F0"/>
            </w:tcBorders>
          </w:tcPr>
          <w:p>
            <w:pPr>
              <w:spacing w:before="0" w:after="0"/>
              <w:jc w:val="center"/>
            </w:pPr>
            <w:r>
              <w:rPr>
                <w:rFonts w:ascii="Arial" w:hAnsi="Arial"/>
                <w:b/>
                <w:color w:val="16A34A"/>
                <w:sz w:val="18"/>
              </w:rPr>
              <w:t>✓</w:t>
            </w:r>
          </w:p>
        </w:tc>
        <w:tc>
          <w:tcPr>
            <w:tcW w:type="dxa" w:w="1584"/>
            <w:shd w:fill="F8FAFC"/>
            <w:tcMar>
              <w:top w:w="90" w:type="dxa"/>
              <w:bottom w:w="90" w:type="dxa"/>
              <w:left w:w="140" w:type="dxa"/>
              <w:right w:w="140" w:type="dxa"/>
            </w:tcMar>
            <w:tcBorders>
              <w:top w:val="single" w:sz="4" w:space="0" w:color="E2E8F0"/>
              <w:bottom w:val="single" w:sz="4" w:space="0" w:color="CBD5E1"/>
              <w:left w:val="single" w:sz="4" w:space="0" w:color="E2E8F0"/>
              <w:right w:val="single" w:sz="4" w:space="0" w:color="E2E8F0"/>
            </w:tcBorders>
          </w:tcPr>
          <w:p>
            <w:pPr>
              <w:spacing w:before="0" w:after="0"/>
              <w:jc w:val="center"/>
            </w:pPr>
            <w:r>
              <w:rPr>
                <w:rFonts w:ascii="Arial" w:hAnsi="Arial"/>
                <w:color w:val="94A3B8"/>
                <w:sz w:val="18"/>
              </w:rPr>
              <w:t>—</w:t>
            </w:r>
          </w:p>
        </w:tc>
        <w:tc>
          <w:tcPr>
            <w:tcW w:type="dxa" w:w="1440"/>
            <w:shd w:fill="F8FAFC"/>
            <w:tcMar>
              <w:top w:w="90" w:type="dxa"/>
              <w:bottom w:w="90" w:type="dxa"/>
              <w:left w:w="140" w:type="dxa"/>
              <w:right w:w="140" w:type="dxa"/>
            </w:tcMar>
            <w:tcBorders>
              <w:top w:val="single" w:sz="4" w:space="0" w:color="E2E8F0"/>
              <w:bottom w:val="single" w:sz="4" w:space="0" w:color="CBD5E1"/>
              <w:left w:val="single" w:sz="4" w:space="0" w:color="E2E8F0"/>
              <w:right w:val="single" w:sz="4" w:space="0" w:color="E2E8F0"/>
            </w:tcBorders>
          </w:tcPr>
          <w:p>
            <w:pPr>
              <w:spacing w:before="0" w:after="0"/>
              <w:jc w:val="center"/>
            </w:pPr>
            <w:r>
              <w:rPr>
                <w:rFonts w:ascii="Arial" w:hAnsi="Arial"/>
                <w:color w:val="94A3B8"/>
                <w:sz w:val="18"/>
              </w:rPr>
              <w:t>—</w:t>
            </w:r>
          </w:p>
        </w:tc>
        <w:tc>
          <w:tcPr>
            <w:tcW w:type="dxa" w:w="1440"/>
            <w:shd w:fill="F8FAFC"/>
            <w:tcMar>
              <w:top w:w="90" w:type="dxa"/>
              <w:bottom w:w="90" w:type="dxa"/>
              <w:left w:w="140" w:type="dxa"/>
              <w:right w:w="140" w:type="dxa"/>
            </w:tcMar>
            <w:tcBorders>
              <w:top w:val="single" w:sz="4" w:space="0" w:color="E2E8F0"/>
              <w:bottom w:val="single" w:sz="4" w:space="0" w:color="CBD5E1"/>
              <w:left w:val="single" w:sz="4" w:space="0" w:color="E2E8F0"/>
              <w:right w:val="single" w:sz="4" w:space="0" w:color="E2E8F0"/>
            </w:tcBorders>
          </w:tcPr>
          <w:p>
            <w:pPr>
              <w:spacing w:before="0" w:after="0"/>
              <w:jc w:val="center"/>
            </w:pPr>
            <w:r>
              <w:rPr>
                <w:rFonts w:ascii="Arial" w:hAnsi="Arial"/>
                <w:color w:val="94A3B8"/>
                <w:sz w:val="18"/>
              </w:rPr>
              <w:t>—</w:t>
            </w:r>
          </w:p>
        </w:tc>
      </w:tr>
    </w:tbl>
    <w:p>
      <w:pPr>
        <w:spacing w:before="0" w:after="120"/>
      </w:pPr>
    </w:p>
    <w:p>
      <w:pPr>
        <w:pStyle w:val="Heading1"/>
        <w:keepNext/>
        <w:spacing w:before="280" w:after="80"/>
      </w:pPr>
      <w:r>
        <w:rPr>
          <w:rFonts w:ascii="Arial" w:hAnsi="Arial"/>
          <w:b/>
          <w:color w:val="0F3C3C"/>
          <w:sz w:val="32"/>
        </w:rPr>
        <w:t>11. Casos de Uso Frecuentes ('¿Cómo hago...?')</w:t>
      </w:r>
    </w:p>
    <w:p>
      <w:pPr>
        <w:pStyle w:val="ListBullet"/>
        <w:spacing w:before="40" w:after="40"/>
      </w:pPr>
      <w:r>
        <w:rPr>
          <w:b/>
          <w:color w:val="0F172A"/>
        </w:rPr>
        <w:t xml:space="preserve">¿Cómo registro una comisión nueva?: </w:t>
      </w:r>
      <w:r>
        <w:rPr>
          <w:color w:val="334155"/>
        </w:rPr>
        <w:t>Vaya a 'Nueva Comisión', seleccione Compañía -&gt; Desarrollo -&gt; Ubicación -&gt; Expediente, confirme fecha y precio, asigne Gerente/Asesor con sus porcentajes y pulse 'Guardar Comisión'.</w:t>
      </w:r>
    </w:p>
    <w:p>
      <w:pPr>
        <w:pStyle w:val="ListBullet"/>
        <w:spacing w:before="40" w:after="40"/>
      </w:pPr>
      <w:r>
        <w:rPr>
          <w:b/>
          <w:color w:val="0F172A"/>
        </w:rPr>
        <w:t xml:space="preserve">¿Cómo registro la escritura de una vivienda ya comisionada en contrato?: </w:t>
      </w:r>
      <w:r>
        <w:rPr>
          <w:color w:val="334155"/>
        </w:rPr>
        <w:t>Vaya a 'Historial', abra la ubicación deseada y en la fase de Escritura pulse 'Registrar comisión de escritura'. Capture la fecha y confirme.</w:t>
      </w:r>
    </w:p>
    <w:p>
      <w:pPr>
        <w:pStyle w:val="ListBullet"/>
        <w:spacing w:before="40" w:after="40"/>
      </w:pPr>
      <w:r>
        <w:rPr>
          <w:b/>
          <w:color w:val="0F172A"/>
        </w:rPr>
        <w:t xml:space="preserve">¿Cómo verifico mi comisión?: </w:t>
      </w:r>
      <w:r>
        <w:rPr>
          <w:color w:val="334155"/>
        </w:rPr>
        <w:t>En 'Comisiones', busque la tarjeta amarilla 'Pendiente Verificación', localice su nombre con la etiqueta '(tú)' y pulse 'Verificar'.</w:t>
      </w:r>
    </w:p>
    <w:p>
      <w:pPr>
        <w:pStyle w:val="ListBullet"/>
        <w:spacing w:before="40" w:after="40"/>
      </w:pPr>
      <w:r>
        <w:rPr>
          <w:b/>
          <w:color w:val="0F172A"/>
        </w:rPr>
        <w:t xml:space="preserve">¿Cómo atiendo una comisión en 'Corrección'?: </w:t>
      </w:r>
      <w:r>
        <w:rPr>
          <w:color w:val="334155"/>
        </w:rPr>
        <w:t>Abra la tarjeta roja, lea el banner de observaciones de Dirección, pulse 'Editar', realice los cambios solicitados y guarde nuevamente.</w:t>
      </w:r>
    </w:p>
    <w:p>
      <w:pPr>
        <w:pStyle w:val="ListBullet"/>
        <w:spacing w:before="40" w:after="40"/>
      </w:pPr>
      <w:r>
        <w:rPr>
          <w:b/>
          <w:color w:val="0F172A"/>
        </w:rPr>
        <w:t xml:space="preserve">¿Cómo abono a la deuda de un asesor?: </w:t>
      </w:r>
      <w:r>
        <w:rPr>
          <w:color w:val="334155"/>
        </w:rPr>
        <w:t>En 'Cartera de Deudores', abra la ficha del asesor, capture el monto a pagar en el campo de abono y presione 'Aplicar Abono a Deuda'.</w:t>
      </w:r>
    </w:p>
    <w:p>
      <w:pPr>
        <w:pStyle w:val="Heading1"/>
        <w:keepNext/>
        <w:spacing w:before="280" w:after="80"/>
      </w:pPr>
      <w:r>
        <w:rPr>
          <w:rFonts w:ascii="Arial" w:hAnsi="Arial"/>
          <w:b/>
          <w:color w:val="0F3C3C"/>
          <w:sz w:val="32"/>
        </w:rPr>
        <w:t>12. Mensajes del Sistema y Solución de Problemas</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1E3A3A"/>
            <w:tcMar>
              <w:top w:w="120" w:type="dxa"/>
              <w:bottom w:w="120" w:type="dxa"/>
              <w:left w:w="140" w:type="dxa"/>
              <w:right w:w="140" w:type="dxa"/>
            </w:tcMar>
            <w:tcBorders>
              <w:top w:val="single" w:sz="6" w:space="0" w:color="0F2828"/>
              <w:bottom w:val="single" w:sz="12" w:space="0" w:color="166534"/>
              <w:left w:val="single" w:sz="4" w:space="0" w:color="2E5A5A"/>
              <w:right w:val="single" w:sz="4" w:space="0" w:color="2E5A5A"/>
            </w:tcBorders>
          </w:tcPr>
          <w:p>
            <w:pPr>
              <w:jc w:val="left"/>
            </w:pPr>
            <w:r>
              <w:rPr>
                <w:rFonts w:ascii="Arial" w:hAnsi="Arial"/>
                <w:b/>
                <w:color w:val="FFFFFF"/>
                <w:sz w:val="19"/>
              </w:rPr>
              <w:t>Problema / Mensaje</w:t>
            </w:r>
          </w:p>
        </w:tc>
        <w:tc>
          <w:tcPr>
            <w:tcW w:type="dxa" w:w="3024"/>
            <w:shd w:fill="1E3A3A"/>
            <w:tcMar>
              <w:top w:w="120" w:type="dxa"/>
              <w:bottom w:w="120" w:type="dxa"/>
              <w:left w:w="140" w:type="dxa"/>
              <w:right w:w="140" w:type="dxa"/>
            </w:tcMar>
            <w:tcBorders>
              <w:top w:val="single" w:sz="6" w:space="0" w:color="0F2828"/>
              <w:bottom w:val="single" w:sz="12" w:space="0" w:color="166534"/>
              <w:left w:val="single" w:sz="4" w:space="0" w:color="2E5A5A"/>
              <w:right w:val="single" w:sz="4" w:space="0" w:color="2E5A5A"/>
            </w:tcBorders>
          </w:tcPr>
          <w:p>
            <w:pPr>
              <w:jc w:val="left"/>
            </w:pPr>
            <w:r>
              <w:rPr>
                <w:rFonts w:ascii="Arial" w:hAnsi="Arial"/>
                <w:b/>
                <w:color w:val="FFFFFF"/>
                <w:sz w:val="19"/>
              </w:rPr>
              <w:t>Causa Probable</w:t>
            </w:r>
          </w:p>
        </w:tc>
        <w:tc>
          <w:tcPr>
            <w:tcW w:type="dxa" w:w="3312"/>
            <w:shd w:fill="1E3A3A"/>
            <w:tcMar>
              <w:top w:w="120" w:type="dxa"/>
              <w:bottom w:w="120" w:type="dxa"/>
              <w:left w:w="140" w:type="dxa"/>
              <w:right w:w="140" w:type="dxa"/>
            </w:tcMar>
            <w:tcBorders>
              <w:top w:val="single" w:sz="6" w:space="0" w:color="0F2828"/>
              <w:bottom w:val="single" w:sz="12" w:space="0" w:color="166534"/>
              <w:left w:val="single" w:sz="4" w:space="0" w:color="2E5A5A"/>
              <w:right w:val="single" w:sz="4" w:space="0" w:color="2E5A5A"/>
            </w:tcBorders>
          </w:tcPr>
          <w:p>
            <w:pPr>
              <w:jc w:val="left"/>
            </w:pPr>
            <w:r>
              <w:rPr>
                <w:rFonts w:ascii="Arial" w:hAnsi="Arial"/>
                <w:b/>
                <w:color w:val="FFFFFF"/>
                <w:sz w:val="19"/>
              </w:rPr>
              <w:t>Acción Correctiva</w:t>
            </w:r>
          </w:p>
        </w:tc>
      </w:tr>
      <w:tr>
        <w:tc>
          <w:tcPr>
            <w:tcW w:type="dxa" w:w="3024"/>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'Por favor selecciona una compañía/desarrollo'</w:t>
            </w:r>
          </w:p>
        </w:tc>
        <w:tc>
          <w:tcPr>
            <w:tcW w:type="dxa" w:w="3024"/>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Campos obligatorios incompletos.</w:t>
            </w:r>
          </w:p>
        </w:tc>
        <w:tc>
          <w:tcPr>
            <w:tcW w:type="dxa" w:w="331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Complete los selectores marcados con asterisco rojo.</w:t>
            </w:r>
          </w:p>
        </w:tc>
      </w:tr>
      <w:tr>
        <w:tc>
          <w:tcPr>
            <w:tcW w:type="dxa" w:w="3024"/>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'El monto a abonar excede el saldo disponible'</w:t>
            </w:r>
          </w:p>
        </w:tc>
        <w:tc>
          <w:tcPr>
            <w:tcW w:type="dxa" w:w="3024"/>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Se intentó abonar más dinero del que el asesor tiene a favor.</w:t>
            </w:r>
          </w:p>
        </w:tc>
        <w:tc>
          <w:tcPr>
            <w:tcW w:type="dxa" w:w="331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Ajuste el importe a una cantidad igual o menor al saldo positivo.</w:t>
            </w:r>
          </w:p>
        </w:tc>
      </w:tr>
      <w:tr>
        <w:tc>
          <w:tcPr>
            <w:tcW w:type="dxa" w:w="3024"/>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'Error al conectar con servidor V10'</w:t>
            </w:r>
          </w:p>
        </w:tc>
        <w:tc>
          <w:tcPr>
            <w:tcW w:type="dxa" w:w="3024"/>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Pérdida temporal de enlace con el ERP Enkontrol.</w:t>
            </w:r>
          </w:p>
        </w:tc>
        <w:tc>
          <w:tcPr>
            <w:tcW w:type="dxa" w:w="331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Verifique la conexión de red corporativa o reintente la sincronización.</w:t>
            </w:r>
          </w:p>
        </w:tc>
      </w:tr>
      <w:tr>
        <w:tc>
          <w:tcPr>
            <w:tcW w:type="dxa" w:w="3024"/>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Selectores de desarrollo vacíos</w:t>
            </w:r>
          </w:p>
        </w:tc>
        <w:tc>
          <w:tcPr>
            <w:tcW w:type="dxa" w:w="3024"/>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No se ha seleccionado la compañía matriz.</w:t>
            </w:r>
          </w:p>
        </w:tc>
        <w:tc>
          <w:tcPr>
            <w:tcW w:type="dxa" w:w="331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Seleccione primero la compañía correspondiente para filtrar desarrollos.</w:t>
            </w:r>
          </w:p>
        </w:tc>
      </w:tr>
      <w:tr>
        <w:tc>
          <w:tcPr>
            <w:tcW w:type="dxa" w:w="3024"/>
            <w:shd w:fill="FFFFFF"/>
            <w:tcMar>
              <w:top w:w="90" w:type="dxa"/>
              <w:bottom w:w="90" w:type="dxa"/>
              <w:left w:w="140" w:type="dxa"/>
              <w:right w:w="140" w:type="dxa"/>
            </w:tcMar>
            <w:tcBorders>
              <w:top w:val="single" w:sz="4" w:space="0" w:color="E2E8F0"/>
              <w:bottom w:val="single" w:sz="4" w:space="0" w:color="CBD5E1"/>
              <w:left w:val="single" w:sz="4" w:space="0" w:color="E2E8F0"/>
              <w:right w:val="single" w:sz="4" w:space="0" w:color="E2E8F0"/>
            </w:tcBorders>
          </w:tcPr>
          <w:p>
            <w:pPr>
              <w:spacing w:before="0" w:after="0"/>
            </w:pPr>
            <w:r>
              <w:rPr>
                <w:rFonts w:ascii="Arial" w:hAnsi="Arial"/>
                <w:color w:val="334155"/>
                <w:sz w:val="18"/>
              </w:rPr>
              <w:t>No aparece 'Nueva Comisión' o 'Usuarios'</w:t>
            </w:r>
          </w:p>
        </w:tc>
        <w:tc>
          <w:tcPr>
            <w:tcW w:type="dxa" w:w="3024"/>
            <w:shd w:fill="FFFFFF"/>
            <w:tcMar>
              <w:top w:w="90" w:type="dxa"/>
              <w:bottom w:w="90" w:type="dxa"/>
              <w:left w:w="140" w:type="dxa"/>
              <w:right w:w="140" w:type="dxa"/>
            </w:tcMar>
            <w:tcBorders>
              <w:top w:val="single" w:sz="4" w:space="0" w:color="E2E8F0"/>
              <w:bottom w:val="single" w:sz="4" w:space="0" w:color="CBD5E1"/>
              <w:left w:val="single" w:sz="4" w:space="0" w:color="E2E8F0"/>
              <w:right w:val="single" w:sz="4" w:space="0" w:color="E2E8F0"/>
            </w:tcBorders>
          </w:tcPr>
          <w:p>
            <w:pPr>
              <w:spacing w:before="0" w:after="0"/>
            </w:pPr>
            <w:r>
              <w:rPr>
                <w:rFonts w:ascii="Arial" w:hAnsi="Arial"/>
                <w:color w:val="334155"/>
                <w:sz w:val="18"/>
              </w:rPr>
              <w:t>Su rol actual no posee permisos para ese módulo.</w:t>
            </w:r>
          </w:p>
        </w:tc>
        <w:tc>
          <w:tcPr>
            <w:tcW w:type="dxa" w:w="3312"/>
            <w:shd w:fill="FFFFFF"/>
            <w:tcMar>
              <w:top w:w="90" w:type="dxa"/>
              <w:bottom w:w="90" w:type="dxa"/>
              <w:left w:w="140" w:type="dxa"/>
              <w:right w:w="140" w:type="dxa"/>
            </w:tcMar>
            <w:tcBorders>
              <w:top w:val="single" w:sz="4" w:space="0" w:color="E2E8F0"/>
              <w:bottom w:val="single" w:sz="4" w:space="0" w:color="CBD5E1"/>
              <w:left w:val="single" w:sz="4" w:space="0" w:color="E2E8F0"/>
              <w:right w:val="single" w:sz="4" w:space="0" w:color="E2E8F0"/>
            </w:tcBorders>
          </w:tcPr>
          <w:p>
            <w:pPr>
              <w:spacing w:before="0" w:after="0"/>
            </w:pPr>
            <w:r>
              <w:rPr>
                <w:rFonts w:ascii="Arial" w:hAnsi="Arial"/>
                <w:color w:val="334155"/>
                <w:sz w:val="18"/>
              </w:rPr>
              <w:t>Consulte la matriz de permisos o contacte a su Administrador.</w:t>
            </w:r>
          </w:p>
        </w:tc>
      </w:tr>
    </w:tbl>
    <w:p>
      <w:pPr>
        <w:spacing w:before="0" w:after="120"/>
      </w:pPr>
    </w:p>
    <w:p>
      <w:pPr>
        <w:pStyle w:val="Heading1"/>
        <w:keepNext/>
        <w:spacing w:before="280" w:after="80"/>
      </w:pPr>
      <w:r>
        <w:rPr>
          <w:rFonts w:ascii="Arial" w:hAnsi="Arial"/>
          <w:b/>
          <w:color w:val="0F3C3C"/>
          <w:sz w:val="32"/>
        </w:rPr>
        <w:t>13. Glosario de Términos</w:t>
      </w:r>
    </w:p>
    <w:p>
      <w:pPr>
        <w:pStyle w:val="ListBullet"/>
        <w:spacing w:before="40" w:after="40"/>
      </w:pPr>
      <w:r>
        <w:rPr>
          <w:b/>
          <w:color w:val="0F172A"/>
        </w:rPr>
        <w:t xml:space="preserve">Absorción (%): </w:t>
      </w:r>
      <w:r>
        <w:rPr>
          <w:color w:val="334155"/>
        </w:rPr>
        <w:t>Indicador comercial que mide el avance porcentual de ventas sobre el total proyectado de viviendas en un desarrollo.</w:t>
      </w:r>
    </w:p>
    <w:p>
      <w:pPr>
        <w:pStyle w:val="ListBullet"/>
        <w:spacing w:before="40" w:after="40"/>
      </w:pPr>
      <w:r>
        <w:rPr>
          <w:b/>
          <w:color w:val="0F172A"/>
        </w:rPr>
        <w:t xml:space="preserve">Comisión Multipunto (MP): </w:t>
      </w:r>
      <w:r>
        <w:rPr>
          <w:color w:val="334155"/>
        </w:rPr>
        <w:t>Modalidad de venta compartida entre distintos puntos de venta o colaboradores foráneos.</w:t>
      </w:r>
    </w:p>
    <w:p>
      <w:pPr>
        <w:pStyle w:val="ListBullet"/>
        <w:spacing w:before="40" w:after="40"/>
      </w:pPr>
      <w:r>
        <w:rPr>
          <w:b/>
          <w:color w:val="0F172A"/>
        </w:rPr>
        <w:t xml:space="preserve">Deuda Activa: </w:t>
      </w:r>
      <w:r>
        <w:rPr>
          <w:color w:val="334155"/>
        </w:rPr>
        <w:t>Saldo deudor pendiente de pago atribuible a un colaborador por préstamos corporativos o cancelaciones.</w:t>
      </w:r>
    </w:p>
    <w:p>
      <w:pPr>
        <w:pStyle w:val="ListBullet"/>
        <w:spacing w:before="40" w:after="40"/>
      </w:pPr>
      <w:r>
        <w:rPr>
          <w:b/>
          <w:color w:val="0F172A"/>
        </w:rPr>
        <w:t xml:space="preserve">Enkontrol / V10: </w:t>
      </w:r>
      <w:r>
        <w:rPr>
          <w:color w:val="334155"/>
        </w:rPr>
        <w:t>Sistema ERP empresarial de gestión inmobiliaria conectado con NOVU para la sincronización de catálogos maestros.</w:t>
      </w:r>
    </w:p>
    <w:p>
      <w:pPr>
        <w:pStyle w:val="ListBullet"/>
        <w:spacing w:before="40" w:after="40"/>
      </w:pPr>
      <w:r>
        <w:rPr>
          <w:b/>
          <w:color w:val="0F172A"/>
        </w:rPr>
        <w:t xml:space="preserve">Penalización al Cliente: </w:t>
      </w:r>
      <w:r>
        <w:rPr>
          <w:color w:val="334155"/>
        </w:rPr>
        <w:t>Cancelación donde el importe penalizado al cliente cubre el costo de la operación sin descontar comisiones a la fuerza de ventas.</w:t>
      </w:r>
    </w:p>
    <w:p>
      <w:pPr>
        <w:pStyle w:val="ListBullet"/>
        <w:spacing w:before="40" w:after="40"/>
      </w:pPr>
      <w:r>
        <w:rPr>
          <w:b/>
          <w:color w:val="0F172A"/>
        </w:rPr>
        <w:t xml:space="preserve">Penalización a Miembros: </w:t>
      </w:r>
      <w:r>
        <w:rPr>
          <w:color w:val="334155"/>
        </w:rPr>
        <w:t>Cancelación donde se genera un cargo deudor a asesores y gerentes para recuperar comisiones pagadas de una venta no concretada.</w:t>
      </w:r>
    </w:p>
    <w:p>
      <w:pPr>
        <w:pStyle w:val="ListBullet"/>
        <w:spacing w:before="40" w:after="40"/>
      </w:pPr>
      <w:r>
        <w:rPr>
          <w:b/>
          <w:color w:val="0F172A"/>
        </w:rPr>
        <w:t xml:space="preserve">Saldo a Favor: </w:t>
      </w:r>
      <w:r>
        <w:rPr>
          <w:color w:val="334155"/>
        </w:rPr>
        <w:t>Importe positivo disponible del colaborador derivado de comisiones ganadas o créditos directos.</w:t>
      </w:r>
    </w:p>
    <w:p>
      <w:pPr>
        <w:pStyle w:val="Heading1"/>
        <w:keepNext/>
        <w:spacing w:before="280" w:after="80"/>
      </w:pPr>
      <w:r>
        <w:rPr>
          <w:rFonts w:ascii="Arial" w:hAnsi="Arial"/>
          <w:b/>
          <w:color w:val="0F3C3C"/>
          <w:sz w:val="32"/>
        </w:rPr>
        <w:t>14. Matriz Final de Cobertura de Funcionalidades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584"/>
            <w:shd w:fill="1E3A3A"/>
            <w:tcMar>
              <w:top w:w="120" w:type="dxa"/>
              <w:bottom w:w="120" w:type="dxa"/>
              <w:left w:w="140" w:type="dxa"/>
              <w:right w:w="140" w:type="dxa"/>
            </w:tcMar>
            <w:tcBorders>
              <w:top w:val="single" w:sz="6" w:space="0" w:color="0F2828"/>
              <w:bottom w:val="single" w:sz="12" w:space="0" w:color="166534"/>
              <w:left w:val="single" w:sz="4" w:space="0" w:color="2E5A5A"/>
              <w:right w:val="single" w:sz="4" w:space="0" w:color="2E5A5A"/>
            </w:tcBorders>
          </w:tcPr>
          <w:p>
            <w:pPr>
              <w:jc w:val="left"/>
            </w:pPr>
            <w:r>
              <w:rPr>
                <w:rFonts w:ascii="Arial" w:hAnsi="Arial"/>
                <w:b/>
                <w:color w:val="FFFFFF"/>
                <w:sz w:val="19"/>
              </w:rPr>
              <w:t>Módulo</w:t>
            </w:r>
          </w:p>
        </w:tc>
        <w:tc>
          <w:tcPr>
            <w:tcW w:type="dxa" w:w="3312"/>
            <w:shd w:fill="1E3A3A"/>
            <w:tcMar>
              <w:top w:w="120" w:type="dxa"/>
              <w:bottom w:w="120" w:type="dxa"/>
              <w:left w:w="140" w:type="dxa"/>
              <w:right w:w="140" w:type="dxa"/>
            </w:tcMar>
            <w:tcBorders>
              <w:top w:val="single" w:sz="6" w:space="0" w:color="0F2828"/>
              <w:bottom w:val="single" w:sz="12" w:space="0" w:color="166534"/>
              <w:left w:val="single" w:sz="4" w:space="0" w:color="2E5A5A"/>
              <w:right w:val="single" w:sz="4" w:space="0" w:color="2E5A5A"/>
            </w:tcBorders>
          </w:tcPr>
          <w:p>
            <w:pPr>
              <w:jc w:val="left"/>
            </w:pPr>
            <w:r>
              <w:rPr>
                <w:rFonts w:ascii="Arial" w:hAnsi="Arial"/>
                <w:b/>
                <w:color w:val="FFFFFF"/>
                <w:sz w:val="19"/>
              </w:rPr>
              <w:t>Funcionalidad Documentada</w:t>
            </w:r>
          </w:p>
        </w:tc>
        <w:tc>
          <w:tcPr>
            <w:tcW w:type="dxa" w:w="720"/>
            <w:shd w:fill="1E3A3A"/>
            <w:tcMar>
              <w:top w:w="120" w:type="dxa"/>
              <w:bottom w:w="120" w:type="dxa"/>
              <w:left w:w="140" w:type="dxa"/>
              <w:right w:w="140" w:type="dxa"/>
            </w:tcMar>
            <w:tcBorders>
              <w:top w:val="single" w:sz="6" w:space="0" w:color="0F2828"/>
              <w:bottom w:val="single" w:sz="12" w:space="0" w:color="166534"/>
              <w:left w:val="single" w:sz="4" w:space="0" w:color="2E5A5A"/>
              <w:right w:val="single" w:sz="4" w:space="0" w:color="2E5A5A"/>
            </w:tcBorders>
          </w:tcPr>
          <w:p>
            <w:pPr>
              <w:jc w:val="center"/>
            </w:pPr>
            <w:r>
              <w:rPr>
                <w:rFonts w:ascii="Arial" w:hAnsi="Arial"/>
                <w:b/>
                <w:color w:val="FFFFFF"/>
                <w:sz w:val="19"/>
              </w:rPr>
              <w:t>Doc.</w:t>
            </w:r>
          </w:p>
        </w:tc>
        <w:tc>
          <w:tcPr>
            <w:tcW w:type="dxa" w:w="1152"/>
            <w:shd w:fill="1E3A3A"/>
            <w:tcMar>
              <w:top w:w="120" w:type="dxa"/>
              <w:bottom w:w="120" w:type="dxa"/>
              <w:left w:w="140" w:type="dxa"/>
              <w:right w:w="140" w:type="dxa"/>
            </w:tcMar>
            <w:tcBorders>
              <w:top w:val="single" w:sz="6" w:space="0" w:color="0F2828"/>
              <w:bottom w:val="single" w:sz="12" w:space="0" w:color="166534"/>
              <w:left w:val="single" w:sz="4" w:space="0" w:color="2E5A5A"/>
              <w:right w:val="single" w:sz="4" w:space="0" w:color="2E5A5A"/>
            </w:tcBorders>
          </w:tcPr>
          <w:p>
            <w:pPr>
              <w:jc w:val="center"/>
            </w:pPr>
            <w:r>
              <w:rPr>
                <w:rFonts w:ascii="Arial" w:hAnsi="Arial"/>
                <w:b/>
                <w:color w:val="FFFFFF"/>
                <w:sz w:val="19"/>
              </w:rPr>
              <w:t>Captura</w:t>
            </w:r>
          </w:p>
        </w:tc>
        <w:tc>
          <w:tcPr>
            <w:tcW w:type="dxa" w:w="864"/>
            <w:shd w:fill="1E3A3A"/>
            <w:tcMar>
              <w:top w:w="120" w:type="dxa"/>
              <w:bottom w:w="120" w:type="dxa"/>
              <w:left w:w="140" w:type="dxa"/>
              <w:right w:w="140" w:type="dxa"/>
            </w:tcMar>
            <w:tcBorders>
              <w:top w:val="single" w:sz="6" w:space="0" w:color="0F2828"/>
              <w:bottom w:val="single" w:sz="12" w:space="0" w:color="166534"/>
              <w:left w:val="single" w:sz="4" w:space="0" w:color="2E5A5A"/>
              <w:right w:val="single" w:sz="4" w:space="0" w:color="2E5A5A"/>
            </w:tcBorders>
          </w:tcPr>
          <w:p>
            <w:pPr>
              <w:jc w:val="center"/>
            </w:pPr>
            <w:r>
              <w:rPr>
                <w:rFonts w:ascii="Arial" w:hAnsi="Arial"/>
                <w:b/>
                <w:color w:val="FFFFFF"/>
                <w:sz w:val="19"/>
              </w:rPr>
              <w:t>Permisos</w:t>
            </w:r>
          </w:p>
        </w:tc>
        <w:tc>
          <w:tcPr>
            <w:tcW w:type="dxa" w:w="720"/>
            <w:shd w:fill="1E3A3A"/>
            <w:tcMar>
              <w:top w:w="120" w:type="dxa"/>
              <w:bottom w:w="120" w:type="dxa"/>
              <w:left w:w="140" w:type="dxa"/>
              <w:right w:w="140" w:type="dxa"/>
            </w:tcMar>
            <w:tcBorders>
              <w:top w:val="single" w:sz="6" w:space="0" w:color="0F2828"/>
              <w:bottom w:val="single" w:sz="12" w:space="0" w:color="166534"/>
              <w:left w:val="single" w:sz="4" w:space="0" w:color="2E5A5A"/>
              <w:right w:val="single" w:sz="4" w:space="0" w:color="2E5A5A"/>
            </w:tcBorders>
          </w:tcPr>
          <w:p>
            <w:pPr>
              <w:jc w:val="center"/>
            </w:pPr>
            <w:r>
              <w:rPr>
                <w:rFonts w:ascii="Arial" w:hAnsi="Arial"/>
                <w:b/>
                <w:color w:val="FFFFFF"/>
                <w:sz w:val="19"/>
              </w:rPr>
              <w:t>Flujo</w:t>
            </w:r>
          </w:p>
        </w:tc>
        <w:tc>
          <w:tcPr>
            <w:tcW w:type="dxa" w:w="1008"/>
            <w:shd w:fill="1E3A3A"/>
            <w:tcMar>
              <w:top w:w="120" w:type="dxa"/>
              <w:bottom w:w="120" w:type="dxa"/>
              <w:left w:w="140" w:type="dxa"/>
              <w:right w:w="140" w:type="dxa"/>
            </w:tcMar>
            <w:tcBorders>
              <w:top w:val="single" w:sz="6" w:space="0" w:color="0F2828"/>
              <w:bottom w:val="single" w:sz="12" w:space="0" w:color="166534"/>
              <w:left w:val="single" w:sz="4" w:space="0" w:color="2E5A5A"/>
              <w:right w:val="single" w:sz="4" w:space="0" w:color="2E5A5A"/>
            </w:tcBorders>
          </w:tcPr>
          <w:p>
            <w:pPr>
              <w:jc w:val="center"/>
            </w:pPr>
            <w:r>
              <w:rPr>
                <w:rFonts w:ascii="Arial" w:hAnsi="Arial"/>
                <w:b/>
                <w:color w:val="FFFFFF"/>
                <w:sz w:val="19"/>
              </w:rPr>
              <w:t>Estado</w:t>
            </w:r>
          </w:p>
        </w:tc>
      </w:tr>
      <w:tr>
        <w:tc>
          <w:tcPr>
            <w:tcW w:type="dxa" w:w="1584"/>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Autenticación</w:t>
            </w:r>
          </w:p>
        </w:tc>
        <w:tc>
          <w:tcPr>
            <w:tcW w:type="dxa" w:w="331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Login, Toggle Password, Logout, Sesión</w:t>
            </w:r>
          </w:p>
        </w:tc>
        <w:tc>
          <w:tcPr>
            <w:tcW w:type="dxa" w:w="720"/>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15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334155"/>
                <w:sz w:val="18"/>
              </w:rPr>
              <w:t>Pendiente</w:t>
            </w:r>
          </w:p>
        </w:tc>
        <w:tc>
          <w:tcPr>
            <w:tcW w:type="dxa" w:w="864"/>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720"/>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008"/>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334155"/>
                <w:sz w:val="18"/>
              </w:rPr>
              <w:t>Completo</w:t>
            </w:r>
          </w:p>
        </w:tc>
      </w:tr>
      <w:tr>
        <w:tc>
          <w:tcPr>
            <w:tcW w:type="dxa" w:w="1584"/>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Comisiones</w:t>
            </w:r>
          </w:p>
        </w:tc>
        <w:tc>
          <w:tcPr>
            <w:tcW w:type="dxa" w:w="331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Bandeja, Filtros, Verificación de firmas</w:t>
            </w:r>
          </w:p>
        </w:tc>
        <w:tc>
          <w:tcPr>
            <w:tcW w:type="dxa" w:w="720"/>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15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334155"/>
                <w:sz w:val="18"/>
              </w:rPr>
              <w:t>Pendiente</w:t>
            </w:r>
          </w:p>
        </w:tc>
        <w:tc>
          <w:tcPr>
            <w:tcW w:type="dxa" w:w="864"/>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720"/>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008"/>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334155"/>
                <w:sz w:val="18"/>
              </w:rPr>
              <w:t>Completo</w:t>
            </w:r>
          </w:p>
        </w:tc>
      </w:tr>
      <w:tr>
        <w:tc>
          <w:tcPr>
            <w:tcW w:type="dxa" w:w="1584"/>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Comisiones</w:t>
            </w:r>
          </w:p>
        </w:tc>
        <w:tc>
          <w:tcPr>
            <w:tcW w:type="dxa" w:w="331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Aprobación Dirección, Corrección, Pago</w:t>
            </w:r>
          </w:p>
        </w:tc>
        <w:tc>
          <w:tcPr>
            <w:tcW w:type="dxa" w:w="720"/>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15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334155"/>
                <w:sz w:val="18"/>
              </w:rPr>
              <w:t>Pendiente</w:t>
            </w:r>
          </w:p>
        </w:tc>
        <w:tc>
          <w:tcPr>
            <w:tcW w:type="dxa" w:w="864"/>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720"/>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008"/>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334155"/>
                <w:sz w:val="18"/>
              </w:rPr>
              <w:t>Completo</w:t>
            </w:r>
          </w:p>
        </w:tc>
      </w:tr>
      <w:tr>
        <w:tc>
          <w:tcPr>
            <w:tcW w:type="dxa" w:w="1584"/>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Comisiones</w:t>
            </w:r>
          </w:p>
        </w:tc>
        <w:tc>
          <w:tcPr>
            <w:tcW w:type="dxa" w:w="331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Edición, Eliminación y Exportación CSV</w:t>
            </w:r>
          </w:p>
        </w:tc>
        <w:tc>
          <w:tcPr>
            <w:tcW w:type="dxa" w:w="720"/>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15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334155"/>
                <w:sz w:val="18"/>
              </w:rPr>
              <w:t>Pendiente</w:t>
            </w:r>
          </w:p>
        </w:tc>
        <w:tc>
          <w:tcPr>
            <w:tcW w:type="dxa" w:w="864"/>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720"/>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008"/>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334155"/>
                <w:sz w:val="18"/>
              </w:rPr>
              <w:t>Completo</w:t>
            </w:r>
          </w:p>
        </w:tc>
      </w:tr>
      <w:tr>
        <w:tc>
          <w:tcPr>
            <w:tcW w:type="dxa" w:w="1584"/>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Registro</w:t>
            </w:r>
          </w:p>
        </w:tc>
        <w:tc>
          <w:tcPr>
            <w:tcW w:type="dxa" w:w="331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Cascadas, Autoselección V10, Multipunto</w:t>
            </w:r>
          </w:p>
        </w:tc>
        <w:tc>
          <w:tcPr>
            <w:tcW w:type="dxa" w:w="720"/>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15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334155"/>
                <w:sz w:val="18"/>
              </w:rPr>
              <w:t>Pendiente</w:t>
            </w:r>
          </w:p>
        </w:tc>
        <w:tc>
          <w:tcPr>
            <w:tcW w:type="dxa" w:w="864"/>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720"/>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008"/>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334155"/>
                <w:sz w:val="18"/>
              </w:rPr>
              <w:t>Completo</w:t>
            </w:r>
          </w:p>
        </w:tc>
      </w:tr>
      <w:tr>
        <w:tc>
          <w:tcPr>
            <w:tcW w:type="dxa" w:w="1584"/>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Registro</w:t>
            </w:r>
          </w:p>
        </w:tc>
        <w:tc>
          <w:tcPr>
            <w:tcW w:type="dxa" w:w="331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Cancelaciones, Modal de Confirmación</w:t>
            </w:r>
          </w:p>
        </w:tc>
        <w:tc>
          <w:tcPr>
            <w:tcW w:type="dxa" w:w="720"/>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15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334155"/>
                <w:sz w:val="18"/>
              </w:rPr>
              <w:t>Pendiente</w:t>
            </w:r>
          </w:p>
        </w:tc>
        <w:tc>
          <w:tcPr>
            <w:tcW w:type="dxa" w:w="864"/>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720"/>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008"/>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334155"/>
                <w:sz w:val="18"/>
              </w:rPr>
              <w:t>Completo</w:t>
            </w:r>
          </w:p>
        </w:tc>
      </w:tr>
      <w:tr>
        <w:tc>
          <w:tcPr>
            <w:tcW w:type="dxa" w:w="1584"/>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Historial</w:t>
            </w:r>
          </w:p>
        </w:tc>
        <w:tc>
          <w:tcPr>
            <w:tcW w:type="dxa" w:w="331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Agrupación por ubicación, Fases de venta</w:t>
            </w:r>
          </w:p>
        </w:tc>
        <w:tc>
          <w:tcPr>
            <w:tcW w:type="dxa" w:w="720"/>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15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334155"/>
                <w:sz w:val="18"/>
              </w:rPr>
              <w:t>Pendiente</w:t>
            </w:r>
          </w:p>
        </w:tc>
        <w:tc>
          <w:tcPr>
            <w:tcW w:type="dxa" w:w="864"/>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720"/>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008"/>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334155"/>
                <w:sz w:val="18"/>
              </w:rPr>
              <w:t>Completo</w:t>
            </w:r>
          </w:p>
        </w:tc>
      </w:tr>
      <w:tr>
        <w:tc>
          <w:tcPr>
            <w:tcW w:type="dxa" w:w="1584"/>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Historial</w:t>
            </w:r>
          </w:p>
        </w:tc>
        <w:tc>
          <w:tcPr>
            <w:tcW w:type="dxa" w:w="331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Registro de Escritura directa en 1 clic</w:t>
            </w:r>
          </w:p>
        </w:tc>
        <w:tc>
          <w:tcPr>
            <w:tcW w:type="dxa" w:w="720"/>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15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334155"/>
                <w:sz w:val="18"/>
              </w:rPr>
              <w:t>Pendiente</w:t>
            </w:r>
          </w:p>
        </w:tc>
        <w:tc>
          <w:tcPr>
            <w:tcW w:type="dxa" w:w="864"/>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720"/>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008"/>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334155"/>
                <w:sz w:val="18"/>
              </w:rPr>
              <w:t>Completo</w:t>
            </w:r>
          </w:p>
        </w:tc>
      </w:tr>
      <w:tr>
        <w:tc>
          <w:tcPr>
            <w:tcW w:type="dxa" w:w="1584"/>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KPIs</w:t>
            </w:r>
          </w:p>
        </w:tc>
        <w:tc>
          <w:tcPr>
            <w:tcW w:type="dxa" w:w="331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Métricas, Rankings Asesores/Gerentes</w:t>
            </w:r>
          </w:p>
        </w:tc>
        <w:tc>
          <w:tcPr>
            <w:tcW w:type="dxa" w:w="720"/>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15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334155"/>
                <w:sz w:val="18"/>
              </w:rPr>
              <w:t>Pendiente</w:t>
            </w:r>
          </w:p>
        </w:tc>
        <w:tc>
          <w:tcPr>
            <w:tcW w:type="dxa" w:w="864"/>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720"/>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008"/>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334155"/>
                <w:sz w:val="18"/>
              </w:rPr>
              <w:t>Completo</w:t>
            </w:r>
          </w:p>
        </w:tc>
      </w:tr>
      <w:tr>
        <w:tc>
          <w:tcPr>
            <w:tcW w:type="dxa" w:w="1584"/>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KPIs</w:t>
            </w:r>
          </w:p>
        </w:tc>
        <w:tc>
          <w:tcPr>
            <w:tcW w:type="dxa" w:w="331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Tabla Desarrollos 3 clics, Gráficas Chart.js</w:t>
            </w:r>
          </w:p>
        </w:tc>
        <w:tc>
          <w:tcPr>
            <w:tcW w:type="dxa" w:w="720"/>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15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334155"/>
                <w:sz w:val="18"/>
              </w:rPr>
              <w:t>Pendiente</w:t>
            </w:r>
          </w:p>
        </w:tc>
        <w:tc>
          <w:tcPr>
            <w:tcW w:type="dxa" w:w="864"/>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720"/>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008"/>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334155"/>
                <w:sz w:val="18"/>
              </w:rPr>
              <w:t>Completo</w:t>
            </w:r>
          </w:p>
        </w:tc>
      </w:tr>
      <w:tr>
        <w:tc>
          <w:tcPr>
            <w:tcW w:type="dxa" w:w="1584"/>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Cartera</w:t>
            </w:r>
          </w:p>
        </w:tc>
        <w:tc>
          <w:tcPr>
            <w:tcW w:type="dxa" w:w="331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Resumen saldos, Préstamos y Abonos</w:t>
            </w:r>
          </w:p>
        </w:tc>
        <w:tc>
          <w:tcPr>
            <w:tcW w:type="dxa" w:w="720"/>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15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334155"/>
                <w:sz w:val="18"/>
              </w:rPr>
              <w:t>Pendiente</w:t>
            </w:r>
          </w:p>
        </w:tc>
        <w:tc>
          <w:tcPr>
            <w:tcW w:type="dxa" w:w="864"/>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720"/>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008"/>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334155"/>
                <w:sz w:val="18"/>
              </w:rPr>
              <w:t>Completo</w:t>
            </w:r>
          </w:p>
        </w:tc>
      </w:tr>
      <w:tr>
        <w:tc>
          <w:tcPr>
            <w:tcW w:type="dxa" w:w="1584"/>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Usuarios</w:t>
            </w:r>
          </w:p>
        </w:tc>
        <w:tc>
          <w:tcPr>
            <w:tcW w:type="dxa" w:w="331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color w:val="334155"/>
                <w:sz w:val="18"/>
              </w:rPr>
              <w:t>Altas, roles, asignación de gerentes, bajas</w:t>
            </w:r>
          </w:p>
        </w:tc>
        <w:tc>
          <w:tcPr>
            <w:tcW w:type="dxa" w:w="720"/>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15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334155"/>
                <w:sz w:val="18"/>
              </w:rPr>
              <w:t>Pendiente</w:t>
            </w:r>
          </w:p>
        </w:tc>
        <w:tc>
          <w:tcPr>
            <w:tcW w:type="dxa" w:w="864"/>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720"/>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16A34A"/>
                <w:sz w:val="18"/>
              </w:rPr>
              <w:t>✓</w:t>
            </w:r>
          </w:p>
        </w:tc>
        <w:tc>
          <w:tcPr>
            <w:tcW w:type="dxa" w:w="1008"/>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334155"/>
                <w:sz w:val="18"/>
              </w:rPr>
              <w:t>Completo</w:t>
            </w:r>
          </w:p>
        </w:tc>
      </w:tr>
      <w:tr>
        <w:tc>
          <w:tcPr>
            <w:tcW w:type="dxa" w:w="1584"/>
            <w:shd w:fill="FFFFFF"/>
            <w:tcMar>
              <w:top w:w="90" w:type="dxa"/>
              <w:bottom w:w="90" w:type="dxa"/>
              <w:left w:w="140" w:type="dxa"/>
              <w:right w:w="140" w:type="dxa"/>
            </w:tcMar>
            <w:tcBorders>
              <w:top w:val="single" w:sz="4" w:space="0" w:color="E2E8F0"/>
              <w:bottom w:val="single" w:sz="4" w:space="0" w:color="CBD5E1"/>
              <w:left w:val="single" w:sz="4" w:space="0" w:color="E2E8F0"/>
              <w:right w:val="single" w:sz="4" w:space="0" w:color="E2E8F0"/>
            </w:tcBorders>
          </w:tcPr>
          <w:p>
            <w:pPr>
              <w:spacing w:before="0" w:after="0"/>
            </w:pPr>
            <w:r>
              <w:rPr>
                <w:rFonts w:ascii="Arial" w:hAnsi="Arial"/>
                <w:color w:val="334155"/>
                <w:sz w:val="18"/>
              </w:rPr>
              <w:t>General</w:t>
            </w:r>
          </w:p>
        </w:tc>
        <w:tc>
          <w:tcPr>
            <w:tcW w:type="dxa" w:w="3312"/>
            <w:shd w:fill="FFFFFF"/>
            <w:tcMar>
              <w:top w:w="90" w:type="dxa"/>
              <w:bottom w:w="90" w:type="dxa"/>
              <w:left w:w="140" w:type="dxa"/>
              <w:right w:w="140" w:type="dxa"/>
            </w:tcMar>
            <w:tcBorders>
              <w:top w:val="single" w:sz="4" w:space="0" w:color="E2E8F0"/>
              <w:bottom w:val="single" w:sz="4" w:space="0" w:color="CBD5E1"/>
              <w:left w:val="single" w:sz="4" w:space="0" w:color="E2E8F0"/>
              <w:right w:val="single" w:sz="4" w:space="0" w:color="E2E8F0"/>
            </w:tcBorders>
          </w:tcPr>
          <w:p>
            <w:pPr>
              <w:spacing w:before="0" w:after="0"/>
            </w:pPr>
            <w:r>
              <w:rPr>
                <w:rFonts w:ascii="Arial" w:hAnsi="Arial"/>
                <w:color w:val="334155"/>
                <w:sz w:val="18"/>
              </w:rPr>
              <w:t>Notificaciones en tiempo real, Sinc V10</w:t>
            </w:r>
          </w:p>
        </w:tc>
        <w:tc>
          <w:tcPr>
            <w:tcW w:type="dxa" w:w="720"/>
            <w:shd w:fill="FFFFFF"/>
            <w:tcMar>
              <w:top w:w="90" w:type="dxa"/>
              <w:bottom w:w="90" w:type="dxa"/>
              <w:left w:w="140" w:type="dxa"/>
              <w:right w:w="140" w:type="dxa"/>
            </w:tcMar>
            <w:tcBorders>
              <w:top w:val="single" w:sz="4" w:space="0" w:color="E2E8F0"/>
              <w:bottom w:val="single" w:sz="4" w:space="0" w:color="CBD5E1"/>
              <w:left w:val="single" w:sz="4" w:space="0" w:color="E2E8F0"/>
              <w:right w:val="single" w:sz="4" w:space="0" w:color="E2E8F0"/>
            </w:tcBorders>
          </w:tcPr>
          <w:p>
            <w:pPr>
              <w:spacing w:before="0" w:after="0"/>
              <w:jc w:val="center"/>
            </w:pPr>
            <w:r>
              <w:rPr>
                <w:rFonts w:ascii="Arial" w:hAnsi="Arial"/>
                <w:b/>
                <w:color w:val="16A34A"/>
                <w:sz w:val="18"/>
              </w:rPr>
              <w:t>✓</w:t>
            </w:r>
          </w:p>
        </w:tc>
        <w:tc>
          <w:tcPr>
            <w:tcW w:type="dxa" w:w="1152"/>
            <w:shd w:fill="FFFFFF"/>
            <w:tcMar>
              <w:top w:w="90" w:type="dxa"/>
              <w:bottom w:w="90" w:type="dxa"/>
              <w:left w:w="140" w:type="dxa"/>
              <w:right w:w="140" w:type="dxa"/>
            </w:tcMar>
            <w:tcBorders>
              <w:top w:val="single" w:sz="4" w:space="0" w:color="E2E8F0"/>
              <w:bottom w:val="single" w:sz="4" w:space="0" w:color="CBD5E1"/>
              <w:left w:val="single" w:sz="4" w:space="0" w:color="E2E8F0"/>
              <w:right w:val="single" w:sz="4" w:space="0" w:color="E2E8F0"/>
            </w:tcBorders>
          </w:tcPr>
          <w:p>
            <w:pPr>
              <w:spacing w:before="0" w:after="0"/>
              <w:jc w:val="center"/>
            </w:pPr>
            <w:r>
              <w:rPr>
                <w:rFonts w:ascii="Arial" w:hAnsi="Arial"/>
                <w:color w:val="334155"/>
                <w:sz w:val="18"/>
              </w:rPr>
              <w:t>Pendiente</w:t>
            </w:r>
          </w:p>
        </w:tc>
        <w:tc>
          <w:tcPr>
            <w:tcW w:type="dxa" w:w="864"/>
            <w:shd w:fill="FFFFFF"/>
            <w:tcMar>
              <w:top w:w="90" w:type="dxa"/>
              <w:bottom w:w="90" w:type="dxa"/>
              <w:left w:w="140" w:type="dxa"/>
              <w:right w:w="140" w:type="dxa"/>
            </w:tcMar>
            <w:tcBorders>
              <w:top w:val="single" w:sz="4" w:space="0" w:color="E2E8F0"/>
              <w:bottom w:val="single" w:sz="4" w:space="0" w:color="CBD5E1"/>
              <w:left w:val="single" w:sz="4" w:space="0" w:color="E2E8F0"/>
              <w:right w:val="single" w:sz="4" w:space="0" w:color="E2E8F0"/>
            </w:tcBorders>
          </w:tcPr>
          <w:p>
            <w:pPr>
              <w:spacing w:before="0" w:after="0"/>
              <w:jc w:val="center"/>
            </w:pPr>
            <w:r>
              <w:rPr>
                <w:rFonts w:ascii="Arial" w:hAnsi="Arial"/>
                <w:b/>
                <w:color w:val="16A34A"/>
                <w:sz w:val="18"/>
              </w:rPr>
              <w:t>✓</w:t>
            </w:r>
          </w:p>
        </w:tc>
        <w:tc>
          <w:tcPr>
            <w:tcW w:type="dxa" w:w="720"/>
            <w:shd w:fill="FFFFFF"/>
            <w:tcMar>
              <w:top w:w="90" w:type="dxa"/>
              <w:bottom w:w="90" w:type="dxa"/>
              <w:left w:w="140" w:type="dxa"/>
              <w:right w:w="140" w:type="dxa"/>
            </w:tcMar>
            <w:tcBorders>
              <w:top w:val="single" w:sz="4" w:space="0" w:color="E2E8F0"/>
              <w:bottom w:val="single" w:sz="4" w:space="0" w:color="CBD5E1"/>
              <w:left w:val="single" w:sz="4" w:space="0" w:color="E2E8F0"/>
              <w:right w:val="single" w:sz="4" w:space="0" w:color="E2E8F0"/>
            </w:tcBorders>
          </w:tcPr>
          <w:p>
            <w:pPr>
              <w:spacing w:before="0" w:after="0"/>
              <w:jc w:val="center"/>
            </w:pPr>
            <w:r>
              <w:rPr>
                <w:rFonts w:ascii="Arial" w:hAnsi="Arial"/>
                <w:b/>
                <w:color w:val="16A34A"/>
                <w:sz w:val="18"/>
              </w:rPr>
              <w:t>✓</w:t>
            </w:r>
          </w:p>
        </w:tc>
        <w:tc>
          <w:tcPr>
            <w:tcW w:type="dxa" w:w="1008"/>
            <w:shd w:fill="FFFFFF"/>
            <w:tcMar>
              <w:top w:w="90" w:type="dxa"/>
              <w:bottom w:w="90" w:type="dxa"/>
              <w:left w:w="140" w:type="dxa"/>
              <w:right w:w="140" w:type="dxa"/>
            </w:tcMar>
            <w:tcBorders>
              <w:top w:val="single" w:sz="4" w:space="0" w:color="E2E8F0"/>
              <w:bottom w:val="single" w:sz="4" w:space="0" w:color="CBD5E1"/>
              <w:left w:val="single" w:sz="4" w:space="0" w:color="E2E8F0"/>
              <w:right w:val="single" w:sz="4" w:space="0" w:color="E2E8F0"/>
            </w:tcBorders>
          </w:tcPr>
          <w:p>
            <w:pPr>
              <w:spacing w:before="0" w:after="0"/>
              <w:jc w:val="center"/>
            </w:pPr>
            <w:r>
              <w:rPr>
                <w:rFonts w:ascii="Arial" w:hAnsi="Arial"/>
                <w:color w:val="334155"/>
                <w:sz w:val="18"/>
              </w:rPr>
              <w:t>Completo</w:t>
            </w:r>
          </w:p>
        </w:tc>
      </w:tr>
    </w:tbl>
    <w:p>
      <w:pPr>
        <w:spacing w:before="0" w:after="120"/>
      </w:pPr>
    </w:p>
    <w:p>
      <w:pPr>
        <w:pStyle w:val="Heading1"/>
        <w:keepNext/>
        <w:spacing w:before="280" w:after="80"/>
      </w:pPr>
      <w:r>
        <w:rPr>
          <w:rFonts w:ascii="Arial" w:hAnsi="Arial"/>
          <w:b/>
          <w:color w:val="0F3C3C"/>
          <w:sz w:val="32"/>
        </w:rPr>
        <w:t>15. Pendientes de Documentación</w:t>
      </w:r>
    </w:p>
    <w:p>
      <w:pPr>
        <w:pStyle w:val="ListBullet"/>
        <w:spacing w:before="40" w:after="40"/>
      </w:pPr>
      <w:r>
        <w:rPr>
          <w:b/>
          <w:color w:val="0F172A"/>
        </w:rPr>
        <w:t xml:space="preserve">Capturas de Pantalla Definitivas: </w:t>
      </w:r>
      <w:r>
        <w:rPr>
          <w:color w:val="334155"/>
        </w:rPr>
        <w:t>Se dejaron señalizadas las figuras para insertar las capturas finales del entorno en producción.</w:t>
      </w:r>
    </w:p>
    <w:p>
      <w:pPr>
        <w:pStyle w:val="ListBullet"/>
        <w:spacing w:before="40" w:after="40"/>
      </w:pPr>
      <w:r>
        <w:rPr>
          <w:b/>
          <w:color w:val="0F172A"/>
        </w:rPr>
        <w:t xml:space="preserve">Tabulador de Bonos Especiales: </w:t>
      </w:r>
      <w:r>
        <w:rPr>
          <w:color w:val="334155"/>
        </w:rPr>
        <w:t>⚠️ Pendiente de confirmar con Dirección Comercial las condiciones de elegibilidad para la fase de 'Bono'.</w:t>
      </w:r>
    </w:p>
    <w:p>
      <w:pPr>
        <w:pStyle w:val="ListBullet"/>
        <w:spacing w:before="40" w:after="40"/>
      </w:pPr>
      <w:r>
        <w:rPr>
          <w:b/>
          <w:color w:val="0F172A"/>
        </w:rPr>
        <w:t xml:space="preserve">Plazos Reglamentarios de Verificación: </w:t>
      </w:r>
      <w:r>
        <w:rPr>
          <w:color w:val="334155"/>
        </w:rPr>
        <w:t>⚠️ Pendiente de confirmar si existe un tiempo límite en días hábiles para la verificación de comisiones antes del corte.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