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TechNova Solutions Ltd. Q1 2025 Summary</w:t>
      </w:r>
    </w:p>
    <w:p>
      <w:pPr>
        <w:pStyle w:val="Heading1"/>
      </w:pPr>
      <w:r>
        <w:t>Financial Highlights</w:t>
      </w:r>
    </w:p>
    <w:p>
      <w:r>
        <w:t>Q1 2025 Revenue: 128 million USD, up 17 percent year-over-year.</w:t>
      </w:r>
    </w:p>
    <w:p>
      <w:r>
        <w:t>Q1 2025 Gross Profit: 77 million USD (gross margin: 60.2 percent).</w:t>
      </w:r>
    </w:p>
    <w:p>
      <w:r>
        <w:t>Q1 2025 Net Income: 25 million USD.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 2025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128M</w:t>
            </w:r>
          </w:p>
        </w:tc>
        <w:tc>
          <w:tcPr>
            <w:tcW w:type="dxa" w:w="2880"/>
          </w:tcPr>
          <w:p>
            <w:r>
              <w:t>109M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77M</w:t>
            </w:r>
          </w:p>
        </w:tc>
        <w:tc>
          <w:tcPr>
            <w:tcW w:type="dxa" w:w="2880"/>
          </w:tcPr>
          <w:p>
            <w:r>
              <w:t>64M</w:t>
            </w:r>
          </w:p>
        </w:tc>
      </w:tr>
      <w:tr>
        <w:tc>
          <w:tcPr>
            <w:tcW w:type="dxa" w:w="2880"/>
          </w:tcPr>
          <w:p>
            <w:r>
              <w:t>Net Income</w:t>
            </w:r>
          </w:p>
        </w:tc>
        <w:tc>
          <w:tcPr>
            <w:tcW w:type="dxa" w:w="2880"/>
          </w:tcPr>
          <w:p>
            <w:r>
              <w:t>25M</w:t>
            </w:r>
          </w:p>
        </w:tc>
        <w:tc>
          <w:tcPr>
            <w:tcW w:type="dxa" w:w="2880"/>
          </w:tcPr>
          <w:p>
            <w:r>
              <w:t>19M</w:t>
            </w:r>
          </w:p>
        </w:tc>
      </w:tr>
    </w:tbl>
    <w:p>
      <w:pPr>
        <w:pStyle w:val="Heading1"/>
      </w:pPr>
      <w:r>
        <w:t>Business Outlook</w:t>
      </w:r>
    </w:p>
    <w:p>
      <w:r>
        <w:t>Management reaffirms full-year FY2025 revenue guidance of 520 million USD.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